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Palatino Linotype" w:cs="Palatino Linotype" w:eastAsia="Palatino Linotype" w:hAnsi="Palatino Linotype"/>
          <w:color w:val="2C2C2C"/>
          <w:sz w:val="21"/>
          <w:szCs w:val="21"/>
        </w:rPr>
        <w:t xml:space="preserve">SISTEMA DE GESTIÓN DE SEGURIDAD DE LA INFORMACIÓN</w:t>
      </w:r>
    </w:p>
    <w:p>
      <w:pPr>
        <w:pBdr>
          <w:bottom w:val="single" w:color="1B3A2D" w:sz="16" w:space="6"/>
        </w:pBdr>
        <w:spacing w:after="60"/>
      </w:pPr>
      <w:r>
        <w:rPr>
          <w:rFonts w:ascii="Georgia" w:cs="Georgia" w:eastAsia="Georgia" w:hAnsi="Georgia"/>
          <w:b/>
          <w:bCs/>
          <w:color w:val="1B3A2D"/>
          <w:sz w:val="32"/>
          <w:szCs w:val="32"/>
        </w:rPr>
        <w:t xml:space="preserve">FASE 9 — GESTIÓN DE INCIDENTES DE SEGURIDAD</w:t>
      </w:r>
    </w:p>
    <w:p>
      <w:pPr>
        <w:spacing w:after="60" w:before="80"/>
      </w:pPr>
      <w:r>
        <w:rPr>
          <w:rFonts w:ascii="Georgia" w:cs="Georgia" w:eastAsia="Georgia" w:hAnsi="Georgia"/>
          <w:i/>
          <w:iCs/>
          <w:color w:val="C17F24"/>
          <w:sz w:val="19"/>
          <w:szCs w:val="19"/>
        </w:rPr>
        <w:t xml:space="preserve">NovaTech Solutions · Monterrey, México · 2025</w:t>
      </w:r>
    </w:p>
    <w:p>
      <w:pPr>
        <w:spacing w:after="200" w:before="0"/>
      </w:pPr>
      <w:r>
        <w:rPr>
          <w:rFonts w:ascii="Palatino Linotype" w:cs="Palatino Linotype" w:eastAsia="Palatino Linotype" w:hAnsi="Palatino Linotype"/>
          <w:i/>
          <w:iCs/>
          <w:color w:val="999999"/>
          <w:sz w:val="17"/>
          <w:szCs w:val="17"/>
        </w:rPr>
        <w:t xml:space="preserve">Propuesta técnica elaborada por el equipo consultor de seguridad — Sujeta a revisión y aprobación ejecutiva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17F24" w:val="clear"/>
            <w:tcMar>
              <w:top w:type="dxa" w:w="0"/>
              <w:left w:type="dxa" w:w="0"/>
              <w:bottom w:type="dxa" w:w="0"/>
              <w:right w:type="dxa" w:w="0"/>
            </w:tcMar>
          </w:tcPr>
          <w:p/>
        </w:tc>
        <w:tc>
          <w:tcPr>
            <w:tcW w:type="dxa" w:w="9160"/>
            <w:tcBorders>
              <w:top w:val="none" w:color="FFFFFF" w:sz="0"/>
              <w:left w:val="none" w:color="FFFFFF" w:sz="0"/>
              <w:bottom w:val="none" w:color="FFFFFF" w:sz="0"/>
              <w:right w:val="none" w:color="FFFFFF" w:sz="0"/>
            </w:tcBorders>
            <w:shd w:fill="FFF8EC" w:val="clear"/>
            <w:tcMar>
              <w:top w:type="dxa" w:w="100"/>
              <w:left w:type="dxa" w:w="160"/>
              <w:bottom w:type="dxa" w:w="100"/>
              <w:right w:type="dxa" w:w="160"/>
            </w:tcMar>
          </w:tcPr>
          <w:p>
            <w:r>
              <w:rPr>
                <w:rFonts w:ascii="Courier New" w:cs="Courier New" w:eastAsia="Courier New" w:hAnsi="Courier New"/>
                <w:b/>
                <w:bCs/>
                <w:color w:val="8B5E1A"/>
                <w:sz w:val="17"/>
                <w:szCs w:val="17"/>
              </w:rPr>
              <w:t xml:space="preserve">⚠ PROPUESTA SUJETA A APROBACIÓN EJECUTIVA  </w:t>
            </w:r>
            <w:r>
              <w:rPr>
                <w:rFonts w:ascii="Palatino Linotype" w:cs="Palatino Linotype" w:eastAsia="Palatino Linotype" w:hAnsi="Palatino Linotype"/>
                <w:i/>
                <w:iCs/>
                <w:color w:val="5A3E0A"/>
                <w:sz w:val="17"/>
                <w:szCs w:val="17"/>
              </w:rPr>
              <w:t xml:space="preserve">El contenido de esta fase constituye una recomendación técnica elaborada por el equipo consultor de seguridad. Los análisis, estructuras, roles, controles y documentos aquí propuestos están sujetos a revisión, ajuste y aprobación formal por parte de la Dirección General y el Comité de Seguridad de NovaTech Solutions antes de cualquier implementación.</w:t>
            </w:r>
          </w:p>
        </w:tc>
      </w:tr>
    </w:tbl>
    <w:p>
      <w:pPr>
        <w:spacing w:after="40" w:before="40"/>
      </w:pP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9.1 Filosofía de Gestión de Incidentes</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27002:2022 — Control 5.24 (Planificación y preparación para la gestión de incidentes) </w:t>
            </w:r>
            <w:r>
              <w:rPr>
                <w:rFonts w:ascii="Palatino Linotype" w:cs="Palatino Linotype" w:eastAsia="Palatino Linotype" w:hAnsi="Palatino Linotype"/>
                <w:i/>
                <w:iCs/>
                <w:color w:val="2C2C2C"/>
                <w:sz w:val="18"/>
                <w:szCs w:val="18"/>
              </w:rPr>
              <w:t xml:space="preserve">Se recomienda que la organización planificar y prepararse para gestionar los incidentes de seguridad de la información definiendo, estableciendo y comunicando procedimientos de gestión de incidentes, incluyendo roles, responsabilidades y procesos de respuesta.</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Los incidentes de seguridad son inevitables en cualquier organización que opera en el entorno digital actual. Lo que diferencia a una organización madura de una vulnerable no es la ausencia de incidentes, sino la capacidad de detectarlos rápidamente, contenerlos eficazmente y aprender de ellos de forma sistemática. Los tres eventos documentados en NovaTech —el acceso al repositorio, la filtración por correo y la caída del CRM— comparten una característica: ninguno fue gestionado conforme a un procedimiento formal. El objetivo de la Fase 9 es garantizar que esto no vuelva a ocurrir.</w:t>
      </w: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9.2 Clasificación de Incidentes de Seguridad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500"/>
        <w:gridCol w:w="2460"/>
      </w:tblGrid>
      <w:tr>
        <w:trPr>
          <w:tblHeader/>
        </w:trPr>
        <w:tc>
          <w:tcPr>
            <w:tcW w:type="dxa" w:w="14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Nivel</w:t>
            </w:r>
          </w:p>
        </w:tc>
        <w:tc>
          <w:tcPr>
            <w:tcW w:type="dxa" w:w="30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Descripción</w:t>
            </w:r>
          </w:p>
        </w:tc>
        <w:tc>
          <w:tcPr>
            <w:tcW w:type="dxa" w:w="25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Ejemplos en NovaTech</w:t>
            </w:r>
          </w:p>
        </w:tc>
        <w:tc>
          <w:tcPr>
            <w:tcW w:type="dxa" w:w="246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Tiempo de Respuesta</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P1 — Crítico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Impacto severo en CIA de activos críticos; posible violación legal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Ransomware en repositorios; filtración masiva de datos de clientes; compromiso de credenciales maestras</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Inmediata — &lt; 1 hora</w:t>
            </w:r>
          </w:p>
        </w:tc>
      </w:tr>
      <w:tr>
        <w:tc>
          <w:tcPr>
            <w:tcW w:type="dxa" w:w="14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P2 — Alto</w:t>
            </w:r>
          </w:p>
        </w:tc>
        <w:tc>
          <w:tcPr>
            <w:tcW w:type="dxa" w:w="30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Impacto significativo en operaciones o datos sensibles; riesgo de escalar a P1</w:t>
            </w:r>
          </w:p>
        </w:tc>
        <w:tc>
          <w:tcPr>
            <w:tcW w:type="dxa" w:w="25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Acceso no autorizado a CRM; caída del sistema por más de 4 horas; phishing exitoso en empleado</w:t>
            </w:r>
          </w:p>
        </w:tc>
        <w:tc>
          <w:tcPr>
            <w:tcW w:type="dxa" w:w="24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Urgente — &lt; 4 horas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P3 — Medio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Impacto moderado; operaciones parcialmente afectadas; posible exposición de datos no críticos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Correo confidencial enviado a dirección incorrecta; sesión abierta en equipo compartido detectada</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Normal — &lt; 24 horas</w:t>
            </w:r>
          </w:p>
        </w:tc>
      </w:tr>
      <w:tr>
        <w:tc>
          <w:tcPr>
            <w:tcW w:type="dxa" w:w="14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P4 — Bajo</w:t>
            </w:r>
          </w:p>
        </w:tc>
        <w:tc>
          <w:tcPr>
            <w:tcW w:type="dxa" w:w="30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Impacto mínimo; sin exposición de datos; evento de seguridad sin materialización de daño</w:t>
            </w:r>
          </w:p>
        </w:tc>
        <w:tc>
          <w:tcPr>
            <w:tcW w:type="dxa" w:w="25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Intento fallido de acceso; vulnerabilidad detectada sin explotación confirmada</w:t>
            </w:r>
          </w:p>
        </w:tc>
        <w:tc>
          <w:tcPr>
            <w:tcW w:type="dxa" w:w="24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Planificado — &lt; 72 horas</w:t>
            </w:r>
          </w:p>
        </w:tc>
      </w:tr>
    </w:tbl>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9.3 Flujo del Procedimiento de Respuesta a Incidentes</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27002:2022 — Control 5.26 (Respuesta a incidentes de seguridad de la información) </w:t>
            </w:r>
            <w:r>
              <w:rPr>
                <w:rFonts w:ascii="Palatino Linotype" w:cs="Palatino Linotype" w:eastAsia="Palatino Linotype" w:hAnsi="Palatino Linotype"/>
                <w:i/>
                <w:iCs/>
                <w:color w:val="2C2C2C"/>
                <w:sz w:val="18"/>
                <w:szCs w:val="18"/>
              </w:rPr>
              <w:t xml:space="preserve">Los incidentes de seguridad de la información deben responderse de acuerdo con los procedimientos documentados, asegurando que las evidencias se recopilen, preserven y analicen correctamente.</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El procedimiento de respuesta de NovaTech sigue cinco etapas secuenciales con puntos de decisión explícitos. Cada etapa tiene un responsable asignado, actividades específicas y criterios de salida que deben cumplirse antes de avanzar a la siguiente. La documentación de cada etapa es obligatoria para garantizar la trazabilidad del incidente y el cumplimiento ante posibles requerimientos legales del INAI.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3200"/>
        <w:gridCol w:w="1700"/>
        <w:gridCol w:w="1760"/>
      </w:tblGrid>
      <w:tr>
        <w:trPr>
          <w:tblHeader/>
        </w:trPr>
        <w:tc>
          <w:tcPr>
            <w:tcW w:type="dxa" w:w="6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Etapa</w:t>
            </w:r>
          </w:p>
        </w:tc>
        <w:tc>
          <w:tcPr>
            <w:tcW w:type="dxa" w:w="21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Fase</w:t>
            </w:r>
          </w:p>
        </w:tc>
        <w:tc>
          <w:tcPr>
            <w:tcW w:type="dxa" w:w="32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Actividades Clave</w:t>
            </w:r>
          </w:p>
        </w:tc>
        <w:tc>
          <w:tcPr>
            <w:tcW w:type="dxa" w:w="17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Responsable</w:t>
            </w:r>
          </w:p>
        </w:tc>
        <w:tc>
          <w:tcPr>
            <w:tcW w:type="dxa" w:w="176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Salida / Evidencia</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1</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DETECCIÓN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Alerta SIEM o reporte de empleado → Registro en formulario de incidente → Notificación inmediata al CISO</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Empleado detector / CISO</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Ticket de incidente creado con timestamp</w:t>
            </w:r>
          </w:p>
        </w:tc>
      </w:tr>
      <w:tr>
        <w:tc>
          <w:tcPr>
            <w:tcW w:type="dxa" w:w="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2</w:t>
            </w:r>
          </w:p>
        </w:tc>
        <w:tc>
          <w:tcPr>
            <w:tcW w:type="dxa" w:w="21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CLASIFICACIÓN</w:t>
            </w:r>
          </w:p>
        </w:tc>
        <w:tc>
          <w:tcPr>
            <w:tcW w:type="dxa" w:w="3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Evaluación de severidad (P1-P4) → Decisión de activar CSIRT → Notificación a Dirección si P1/P2</w:t>
            </w:r>
          </w:p>
        </w:tc>
        <w:tc>
          <w:tcPr>
            <w:tcW w:type="dxa" w:w="17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CISO</w:t>
            </w:r>
          </w:p>
        </w:tc>
        <w:tc>
          <w:tcPr>
            <w:tcW w:type="dxa" w:w="17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Nivel P1-P4 asignado; CSIRT activado si aplica</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3</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ANÁLISIS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Identificación del alcance y vector de ataque → Preservación de evidencia digital → Determinación de sistemas/datos afectados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Especialista Técnico / CISO</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Informe de análisis forense preliminar</w:t>
            </w:r>
          </w:p>
        </w:tc>
      </w:tr>
      <w:tr>
        <w:tc>
          <w:tcPr>
            <w:tcW w:type="dxa" w:w="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4</w:t>
            </w:r>
          </w:p>
        </w:tc>
        <w:tc>
          <w:tcPr>
            <w:tcW w:type="dxa" w:w="21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CONTENCIÓN</w:t>
            </w:r>
          </w:p>
        </w:tc>
        <w:tc>
          <w:tcPr>
            <w:tcW w:type="dxa" w:w="3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Aislamiento del sistema afectado → Bloqueo de cuentas comprometidas → Implementación de reglas de emergencia</w:t>
            </w:r>
          </w:p>
        </w:tc>
        <w:tc>
          <w:tcPr>
            <w:tcW w:type="dxa" w:w="17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Especialista Técnico</w:t>
            </w:r>
          </w:p>
        </w:tc>
        <w:tc>
          <w:tcPr>
            <w:tcW w:type="dxa" w:w="17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Confirmación de contención; sistemas aislados documentados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5</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ERRADICACIÓN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Eliminación de la causa raíz → Aplicación de parches → Verificación de integridad de sistemas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Especialista Técnico / CISO</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Sistema limpio verificado; causa raíz eliminada y documentada</w:t>
            </w:r>
          </w:p>
        </w:tc>
      </w:tr>
      <w:tr>
        <w:tc>
          <w:tcPr>
            <w:tcW w:type="dxa" w:w="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6</w:t>
            </w:r>
          </w:p>
        </w:tc>
        <w:tc>
          <w:tcPr>
            <w:tcW w:type="dxa" w:w="21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RECUPERACIÓN</w:t>
            </w:r>
          </w:p>
        </w:tc>
        <w:tc>
          <w:tcPr>
            <w:tcW w:type="dxa" w:w="3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Restauración desde backup verificado → Retorno a operación normal → Monitoreo intensificado post-incidente</w:t>
            </w:r>
          </w:p>
        </w:tc>
        <w:tc>
          <w:tcPr>
            <w:tcW w:type="dxa" w:w="17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Especialista Técnico</w:t>
            </w:r>
          </w:p>
        </w:tc>
        <w:tc>
          <w:tcPr>
            <w:tcW w:type="dxa" w:w="17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Servicio restaurado; checklist de recuperación completado</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7</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LECCIONES APRENDIDAS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Análisis post-mortem → Identificación de mejoras → Actualización del SGSI → Cierre formal del incidente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CISO + CSIRT</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Informe post-mortem aprobado; acciones correctivas abiertas en Fase 12</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Un punto de decisión crítico ocurre entre las etapas 3 y 4: si el análisis forense determina que datos personales de clientes o empleados han sido comprometidos, el asesor legal del CSIRT debe evaluar en un plazo máximo de 72 horas si el incidente constituye una vulneración de seguridad que requiera notificación al INAI conforme al Artículo 36 de la LFPDPPP. Esta decisión no puede delegarse a criterio técnico individual; requiere evaluación legal formal.</w:t>
      </w: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9.4 Aplicación a los Incidentes Documentados de NovaTech</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27002:2022 — Control 5.27 (Aprendizaje de los incidentes de seguridad de la información) </w:t>
            </w:r>
            <w:r>
              <w:rPr>
                <w:rFonts w:ascii="Palatino Linotype" w:cs="Palatino Linotype" w:eastAsia="Palatino Linotype" w:hAnsi="Palatino Linotype"/>
                <w:i/>
                <w:iCs/>
                <w:color w:val="2C2C2C"/>
                <w:sz w:val="18"/>
                <w:szCs w:val="18"/>
              </w:rPr>
              <w:t xml:space="preserve">El conocimiento adquirido de los incidentes de seguridad de la información debe usarse para fortalecer y mejorar los controles de seguridad.</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Los tres incidentes documentados en NovaTech son casos de estudio para calibrar el procedimiento de respuesta. A continuación se analiza retrospectivamente cómo habría funcionado el proceso formal en cada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200"/>
        <w:gridCol w:w="2760"/>
      </w:tblGrid>
      <w:tr>
        <w:trPr>
          <w:tblHeader/>
        </w:trPr>
        <w:tc>
          <w:tcPr>
            <w:tcW w:type="dxa" w:w="22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Incidente</w:t>
            </w:r>
          </w:p>
        </w:tc>
        <w:tc>
          <w:tcPr>
            <w:tcW w:type="dxa" w:w="12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Nivel</w:t>
            </w:r>
          </w:p>
        </w:tc>
        <w:tc>
          <w:tcPr>
            <w:tcW w:type="dxa" w:w="32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Respuesta que debió ocurrir</w:t>
            </w:r>
          </w:p>
        </w:tc>
        <w:tc>
          <w:tcPr>
            <w:tcW w:type="dxa" w:w="276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Lección para el SGSI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Acceso al repositorio desde IP desconocida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Alerta SIEM → Revocación de credencial afectada → Análisis forense de archivos descargados → Evaluación de notificación INAI</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Implementar MFA + monitoreo SIEM; definir política de cierre de sesión en equipos compartidos</w:t>
            </w:r>
          </w:p>
        </w:tc>
      </w:tr>
      <w:tr>
        <w:tc>
          <w:tcPr>
            <w:tcW w:type="dxa" w:w="2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Filtración de datos de cliente por correo incorrecto</w:t>
            </w:r>
          </w:p>
        </w:tc>
        <w:tc>
          <w:tcPr>
            <w:tcW w:type="dxa" w:w="1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P3</w:t>
            </w:r>
          </w:p>
        </w:tc>
        <w:tc>
          <w:tcPr>
            <w:tcW w:type="dxa" w:w="3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Reporte inmediato al CISO → Notificación al cliente afectado → Evaluación legal de LFPDPPP → Capacitación de emergencia al área</w:t>
            </w:r>
          </w:p>
        </w:tc>
        <w:tc>
          <w:tcPr>
            <w:tcW w:type="dxa" w:w="27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Implementar DLP; incluir verificación doble en política de uso aceptable del correo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Caída del CRM por 6 horas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Activación inmediata del DRP → Failover al entorno de standby → Comunicación a clientes afectados → Post-mortem formal</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Implementar gestión formal de cambios; arquitectura de alta disponibilidad; DRP probado</w:t>
            </w:r>
          </w:p>
        </w:tc>
      </w:tr>
    </w:tbl>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9.5 Obligaciones de Notificación Legal</w:t>
      </w:r>
    </w:p>
    <w:p>
      <w:pPr>
        <w:spacing w:after="40" w:before="40"/>
      </w:pPr>
    </w:p>
    <w:p>
      <w:pPr>
        <w:spacing w:after="100" w:before="80"/>
        <w:jc w:val="both"/>
      </w:pPr>
      <w:r>
        <w:rPr>
          <w:rFonts w:ascii="Palatino Linotype" w:cs="Palatino Linotype" w:eastAsia="Palatino Linotype" w:hAnsi="Palatino Linotype"/>
          <w:color w:val="2C2C2C"/>
          <w:sz w:val="21"/>
          <w:szCs w:val="21"/>
        </w:rPr>
        <w:t xml:space="preserve">Cuando un incidente involucra la vulneración de datos personales de clientes o empleados, NovaTech tiene obligaciones legales de notificación conforme al Artículo 36 de la LFPDPPP. El CSIRT, con apoyo del asesor legal, debe evaluar en un plazo máximo de 72 horas desde la detección si el incidente constituye una vulneración de seguridad que requiera notificación al INAI y a los titulares afectados. La notificación tardía o su omisión puede derivar en sanciones económicas significativas y daño reputacional severo.</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1B3A2D" w:val="clear"/>
            <w:tcMar>
              <w:top w:type="dxa" w:w="0"/>
              <w:left w:type="dxa" w:w="0"/>
              <w:bottom w:type="dxa" w:w="0"/>
              <w:right w:type="dxa" w:w="0"/>
            </w:tcMar>
          </w:tcPr>
          <w:p/>
        </w:tc>
        <w:tc>
          <w:tcPr>
            <w:tcW w:type="dxa" w:w="9160"/>
            <w:tcBorders>
              <w:top w:val="nil" w:color="FFFFFF" w:sz="0"/>
              <w:left w:val="nil" w:color="FFFFFF" w:sz="0"/>
              <w:bottom w:val="nil" w:color="FFFFFF" w:sz="0"/>
              <w:right w:val="nil" w:color="FFFFFF" w:sz="0"/>
            </w:tcBorders>
            <w:shd w:fill="E8EDE9" w:val="clear"/>
            <w:tcMar>
              <w:top w:type="dxa" w:w="80"/>
              <w:left w:type="dxa" w:w="160"/>
              <w:bottom w:type="dxa" w:w="80"/>
              <w:right w:type="dxa" w:w="160"/>
            </w:tcMar>
          </w:tcPr>
          <w:p>
            <w:r>
              <w:rPr>
                <w:rFonts w:ascii="Courier New" w:cs="Courier New" w:eastAsia="Courier New" w:hAnsi="Courier New"/>
                <w:b/>
                <w:bCs/>
                <w:color w:val="1B3A2D"/>
                <w:sz w:val="17"/>
                <w:szCs w:val="17"/>
              </w:rPr>
              <w:t xml:space="preserve">Referencia normativa consolidada — </w:t>
            </w:r>
            <w:r>
              <w:rPr>
                <w:rFonts w:ascii="Palatino Linotype" w:cs="Palatino Linotype" w:eastAsia="Palatino Linotype" w:hAnsi="Palatino Linotype"/>
                <w:i/>
                <w:iCs/>
                <w:color w:val="2C2C2C"/>
                <w:sz w:val="17"/>
                <w:szCs w:val="17"/>
              </w:rPr>
              <w:t xml:space="preserve">ISO/IEC 27001:2022 · Cláusula 8.1 — ISO/IEC 27002:2022 · Controles 5.24, 5.25, 5.26, 5.27, 5.28 — LFPDPPP (México) · Art. 36 — NIST SP 800-61 Rev.2 (Computer Security Incident Handling)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2D" w:sz="6" w:space="4"/>
      </w:pBdr>
      <w:tabs>
        <w:tab w:val="right" w:pos="9360"/>
      </w:tabs>
      <w:spacing w:before="80"/>
    </w:pPr>
    <w:r>
      <w:rPr>
        <w:rFonts w:ascii="Georgia" w:cs="Georgia" w:eastAsia="Georgia" w:hAnsi="Georgia"/>
        <w:color w:val="D6CDB8"/>
        <w:sz w:val="16"/>
        <w:szCs w:val="16"/>
      </w:rPr>
      <w:t xml:space="preserve">Confidencial — Uso Interno Restringido</w:t>
    </w:r>
    <w:r>
      <w:rPr>
        <w:sz w:val="16"/>
        <w:szCs w:val="16"/>
      </w:rPr>
      <w:t xml:space="preserv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17F24" w:sz="6" w:space="4"/>
      </w:pBdr>
      <w:tabs>
        <w:tab w:val="right" w:pos="9360"/>
      </w:tabs>
      <w:spacing w:after="80"/>
    </w:pPr>
    <w:r>
      <w:rPr>
        <w:rFonts w:ascii="Georgia" w:cs="Georgia" w:eastAsia="Georgia" w:hAnsi="Georgia"/>
        <w:b/>
        <w:bCs/>
        <w:color w:val="8B5E1A"/>
        <w:sz w:val="17"/>
        <w:szCs w:val="17"/>
      </w:rPr>
      <w:t xml:space="preserve">SGSI — NovaTech Solutions</w:t>
    </w:r>
    <w:r>
      <w:rPr>
        <w:rFonts w:ascii="Georgia" w:cs="Georgia" w:eastAsia="Georgia" w:hAnsi="Georgia"/>
        <w:color w:val="D6CDB8"/>
        <w:sz w:val="17"/>
        <w:szCs w:val="17"/>
      </w:rPr>
      <w:t xml:space="preserve">	Fase 9 · Gestión de Incidentes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40"/>
        <w:ind w:left="720" w:hanging="360"/>
      </w:pPr>
      <w:rPr>
        <w:rFonts w:ascii="Palatino Linotype" w:cs="Palatino Linotype" w:eastAsia="Palatino Linotype" w:hAnsi="Palatino Linotype"/>
        <w:color w:val="C17F24"/>
        <w:sz w:val="21"/>
        <w:szCs w:val="21"/>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2026-05-03T08:21:01.910Z</dcterms:created>
  <dcterms:modified xsi:type="dcterms:W3CDTF">2026-05-03T08:21:01.910Z</dcterms:modified>
</cp:coreProperties>
</file>

<file path=docProps/custom.xml><?xml version="1.0" encoding="utf-8"?>
<Properties xmlns="http://schemas.openxmlformats.org/officeDocument/2006/custom-properties" xmlns:vt="http://schemas.openxmlformats.org/officeDocument/2006/docPropsVTypes"/>
</file>