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Palatino Linotype" w:cs="Palatino Linotype" w:eastAsia="Palatino Linotype" w:hAnsi="Palatino Linotype"/>
          <w:color w:val="2C2C2C"/>
          <w:sz w:val="21"/>
          <w:szCs w:val="21"/>
        </w:rPr>
        <w:t xml:space="preserve">SISTEMA DE GESTIÓN DE SEGURIDAD DE LA INFORMACIÓN</w:t>
      </w:r>
    </w:p>
    <w:p>
      <w:pPr>
        <w:pBdr>
          <w:bottom w:val="single" w:color="1B3A2D" w:sz="16" w:space="6"/>
        </w:pBdr>
        <w:spacing w:after="60"/>
      </w:pPr>
      <w:r>
        <w:rPr>
          <w:rFonts w:ascii="Georgia" w:cs="Georgia" w:eastAsia="Georgia" w:hAnsi="Georgia"/>
          <w:b/>
          <w:bCs/>
          <w:color w:val="1B3A2D"/>
          <w:sz w:val="32"/>
          <w:szCs w:val="32"/>
        </w:rPr>
        <w:t xml:space="preserve">FASE 10 — CAPACITACIÓN Y CONCIENTIZACIÓN EN SEGURIDAD DE LA INFORMACIÓN</w:t>
      </w:r>
    </w:p>
    <w:p>
      <w:pPr>
        <w:spacing w:after="60" w:before="80"/>
      </w:pPr>
      <w:r>
        <w:rPr>
          <w:rFonts w:ascii="Georgia" w:cs="Georgia" w:eastAsia="Georgia" w:hAnsi="Georgia"/>
          <w:i/>
          <w:iCs/>
          <w:color w:val="C17F24"/>
          <w:sz w:val="19"/>
          <w:szCs w:val="19"/>
        </w:rPr>
        <w:t xml:space="preserve">NovaTech Solutions · Monterrey, México · 2025</w:t>
      </w:r>
    </w:p>
    <w:p>
      <w:pPr>
        <w:spacing w:after="200" w:before="0"/>
      </w:pPr>
      <w:r>
        <w:rPr>
          <w:rFonts w:ascii="Palatino Linotype" w:cs="Palatino Linotype" w:eastAsia="Palatino Linotype" w:hAnsi="Palatino Linotype"/>
          <w:i/>
          <w:iCs/>
          <w:color w:val="999999"/>
          <w:sz w:val="17"/>
          <w:szCs w:val="17"/>
        </w:rPr>
        <w:t xml:space="preserve">Propuesta técnica elaborada por el equipo consultor de seguridad — Sujeta a revisión y aprobación ejecutiva</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C17F24" w:val="clear"/>
            <w:tcMar>
              <w:top w:type="dxa" w:w="0"/>
              <w:left w:type="dxa" w:w="0"/>
              <w:bottom w:type="dxa" w:w="0"/>
              <w:right w:type="dxa" w:w="0"/>
            </w:tcMar>
          </w:tcPr>
          <w:p/>
        </w:tc>
        <w:tc>
          <w:tcPr>
            <w:tcW w:type="dxa" w:w="9160"/>
            <w:tcBorders>
              <w:top w:val="none" w:color="FFFFFF" w:sz="0"/>
              <w:left w:val="none" w:color="FFFFFF" w:sz="0"/>
              <w:bottom w:val="none" w:color="FFFFFF" w:sz="0"/>
              <w:right w:val="none" w:color="FFFFFF" w:sz="0"/>
            </w:tcBorders>
            <w:shd w:fill="FFF8EC" w:val="clear"/>
            <w:tcMar>
              <w:top w:type="dxa" w:w="100"/>
              <w:left w:type="dxa" w:w="160"/>
              <w:bottom w:type="dxa" w:w="100"/>
              <w:right w:type="dxa" w:w="160"/>
            </w:tcMar>
          </w:tcPr>
          <w:p>
            <w:r>
              <w:rPr>
                <w:rFonts w:ascii="Courier New" w:cs="Courier New" w:eastAsia="Courier New" w:hAnsi="Courier New"/>
                <w:b/>
                <w:bCs/>
                <w:color w:val="8B5E1A"/>
                <w:sz w:val="17"/>
                <w:szCs w:val="17"/>
              </w:rPr>
              <w:t xml:space="preserve">⚠ PROPUESTA SUJETA A APROBACIÓN EJECUTIVA  </w:t>
            </w:r>
            <w:r>
              <w:rPr>
                <w:rFonts w:ascii="Palatino Linotype" w:cs="Palatino Linotype" w:eastAsia="Palatino Linotype" w:hAnsi="Palatino Linotype"/>
                <w:i/>
                <w:iCs/>
                <w:color w:val="5A3E0A"/>
                <w:sz w:val="17"/>
                <w:szCs w:val="17"/>
              </w:rPr>
              <w:t xml:space="preserve">El contenido de esta fase constituye una recomendación técnica elaborada por el equipo consultor de seguridad. Los análisis, estructuras, roles, controles y documentos aquí propuestos están sujetos a revisión, ajuste y aprobación formal por parte de la Dirección General y el Comité de Seguridad de NovaTech Solutions antes de cualquier implementación.</w:t>
            </w:r>
          </w:p>
        </w:tc>
      </w:tr>
    </w:tbl>
    <w:p>
      <w:pPr>
        <w:spacing w:after="40" w:before="40"/>
      </w:pPr>
    </w:p>
    <w:p>
      <w:pPr>
        <w:pBdr>
          <w:top w:val="none" w:color="FFFFFF" w:sz="0" w:space="0"/>
          <w:left w:val="single" w:color="1B3A2D" w:sz="24" w:space="0"/>
          <w:bottom w:val="single" w:color="C17F24" w:sz="12" w:space="6"/>
          <w:right w:val="none" w:color="FFFFFF" w:sz="0" w:space="0"/>
        </w:pBdr>
        <w:spacing w:after="240" w:before="480"/>
        <w:ind w:left="200"/>
      </w:pPr>
      <w:r>
        <w:rPr>
          <w:rFonts w:ascii="Georgia" w:cs="Georgia" w:eastAsia="Georgia" w:hAnsi="Georgia"/>
          <w:b/>
          <w:bCs/>
          <w:color w:val="1B3A2D"/>
          <w:sz w:val="34"/>
          <w:szCs w:val="34"/>
        </w:rPr>
        <w:t xml:space="preserve">10.1 Programa de Capacitación y Concientización</w:t>
      </w:r>
    </w:p>
    <w:p>
      <w:pPr>
        <w:spacing w:after="40" w:before="40"/>
      </w:pP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200"/>
        <w:gridCol w:w="9160"/>
      </w:tblGrid>
      <w:tr>
        <w:tc>
          <w:tcPr>
            <w:tcW w:type="dxa" w:w="200"/>
            <w:tcBorders>
              <w:top w:val="nil" w:color="FFFFFF" w:sz="0"/>
              <w:left w:val="nil" w:color="FFFFFF" w:sz="0"/>
              <w:bottom w:val="nil" w:color="FFFFFF" w:sz="0"/>
              <w:right w:val="nil" w:color="FFFFFF" w:sz="0"/>
            </w:tcBorders>
            <w:shd w:fill="C17F24" w:val="clear"/>
            <w:tcMar>
              <w:top w:type="dxa" w:w="0"/>
              <w:left w:type="dxa" w:w="0"/>
              <w:bottom w:type="dxa" w:w="0"/>
              <w:right w:type="dxa" w:w="0"/>
            </w:tcMar>
            <w:vAlign w:val="top"/>
          </w:tcPr>
          <w:p/>
        </w:tc>
        <w:tc>
          <w:tcPr>
            <w:tcW w:type="dxa" w:w="9160"/>
            <w:tcBorders>
              <w:top w:val="nil" w:color="FFFFFF" w:sz="0"/>
              <w:left w:val="nil" w:color="FFFFFF" w:sz="0"/>
              <w:bottom w:val="nil" w:color="FFFFFF" w:sz="0"/>
              <w:right w:val="nil" w:color="FFFFFF" w:sz="0"/>
            </w:tcBorders>
            <w:shd w:fill="FDF3E0" w:val="clear"/>
            <w:tcMar>
              <w:top w:type="dxa" w:w="80"/>
              <w:left w:type="dxa" w:w="160"/>
              <w:bottom w:type="dxa" w:w="80"/>
              <w:right w:type="dxa" w:w="160"/>
            </w:tcMar>
          </w:tcPr>
          <w:p>
            <w:r>
              <w:rPr>
                <w:rFonts w:ascii="Courier New" w:cs="Courier New" w:eastAsia="Courier New" w:hAnsi="Courier New"/>
                <w:b/>
                <w:bCs/>
                <w:color w:val="8B5E1A"/>
                <w:sz w:val="18"/>
                <w:szCs w:val="18"/>
              </w:rPr>
              <w:t xml:space="preserve">ISO 27001:2022 — Cláusula 7.2 (Competencia) y 7.3 (Toma de conciencia) </w:t>
            </w:r>
            <w:r>
              <w:rPr>
                <w:rFonts w:ascii="Palatino Linotype" w:cs="Palatino Linotype" w:eastAsia="Palatino Linotype" w:hAnsi="Palatino Linotype"/>
                <w:i/>
                <w:iCs/>
                <w:color w:val="2C2C2C"/>
                <w:sz w:val="18"/>
                <w:szCs w:val="18"/>
              </w:rPr>
              <w:t xml:space="preserve">Obliga a la organización a determinar la competencia necesaria del personal que afecta al desempeño del SGSI, asegurar que sea competente y tomar acciones cuando no lo sea.</w:t>
            </w:r>
          </w:p>
        </w:tc>
      </w:tr>
    </w:tbl>
    <w:p>
      <w:pPr>
        <w:spacing w:after="40" w:before="40"/>
      </w:pPr>
    </w:p>
    <w:p>
      <w:pPr>
        <w:spacing w:after="100" w:before="80"/>
        <w:jc w:val="both"/>
      </w:pPr>
      <w:r>
        <w:rPr>
          <w:rFonts w:ascii="Palatino Linotype" w:cs="Palatino Linotype" w:eastAsia="Palatino Linotype" w:hAnsi="Palatino Linotype"/>
          <w:color w:val="2C2C2C"/>
          <w:sz w:val="21"/>
          <w:szCs w:val="21"/>
        </w:rPr>
        <w:t xml:space="preserve">El factor humano representa uno de los principales vectores de riesgo dentro de NovaTech Solutions. Los incidentes documentados —la filtración accidental de datos de clientes por reenvío de correo erróneo y el acceso no autorizado a repositorios por sesiones abiertas en equipos compartidos— son consecuencias directas de la ausencia de una cultura de seguridad formal. Actualmente, la capacitación en seguridad de la información dentro de la organización es limitada y carece de estructura sistemática.</w:t>
      </w:r>
    </w:p>
    <w:p>
      <w:pPr>
        <w:spacing w:after="100" w:before="80"/>
        <w:jc w:val="both"/>
      </w:pPr>
      <w:r>
        <w:rPr>
          <w:rFonts w:ascii="Palatino Linotype" w:cs="Palatino Linotype" w:eastAsia="Palatino Linotype" w:hAnsi="Palatino Linotype"/>
          <w:color w:val="2C2C2C"/>
          <w:sz w:val="21"/>
          <w:szCs w:val="21"/>
        </w:rPr>
        <w:t xml:space="preserve">El presente SGSI propone establecer un Programa de Capacitación y Concientización estructurado, orientado a fortalecer la cultura de seguridad entre los 120 colaboradores. Este programa tiene como propósito reducir la probabilidad de incidentes derivados de errores humanos, promoviendo prácticas seguras en el uso, acceso y tratamiento de la información en todos los niveles de la organización.</w:t>
      </w:r>
    </w:p>
    <w:p>
      <w:pPr>
        <w:spacing w:after="100" w:before="80"/>
        <w:jc w:val="both"/>
      </w:pPr>
      <w:r>
        <w:rPr>
          <w:rFonts w:ascii="Palatino Linotype" w:cs="Palatino Linotype" w:eastAsia="Palatino Linotype" w:hAnsi="Palatino Linotype"/>
          <w:color w:val="2C2C2C"/>
          <w:sz w:val="21"/>
          <w:szCs w:val="21"/>
        </w:rPr>
        <w:t xml:space="preserve">El programa se alineará con los riesgos identificados mediante OCTAVE Allegro en la Fase 4, los controles definidos en la Fase 6 y las políticas establecidas en la Fase 5, permitiendo su actualización continua conforme evolucione el entorno de amenazas.</w:t>
      </w:r>
    </w:p>
    <w:p>
      <w:pPr>
        <w:pBdr>
          <w:top w:val="none" w:color="FFFFFF" w:sz="0" w:space="0"/>
          <w:left w:val="single" w:color="1B3A2D" w:sz="24" w:space="0"/>
          <w:bottom w:val="single" w:color="C17F24" w:sz="12" w:space="6"/>
          <w:right w:val="none" w:color="FFFFFF" w:sz="0" w:space="0"/>
        </w:pBdr>
        <w:spacing w:after="240" w:before="480"/>
        <w:ind w:left="200"/>
      </w:pPr>
      <w:r>
        <w:rPr>
          <w:rFonts w:ascii="Georgia" w:cs="Georgia" w:eastAsia="Georgia" w:hAnsi="Georgia"/>
          <w:b/>
          <w:bCs/>
          <w:color w:val="1B3A2D"/>
          <w:sz w:val="34"/>
          <w:szCs w:val="34"/>
        </w:rPr>
        <w:t xml:space="preserve">10.2 Componentes del Programa</w:t>
      </w:r>
    </w:p>
    <w:p>
      <w:pPr>
        <w:spacing w:after="40" w:before="40"/>
      </w:pP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200"/>
        <w:gridCol w:w="9160"/>
      </w:tblGrid>
      <w:tr>
        <w:tc>
          <w:tcPr>
            <w:tcW w:type="dxa" w:w="200"/>
            <w:tcBorders>
              <w:top w:val="nil" w:color="FFFFFF" w:sz="0"/>
              <w:left w:val="nil" w:color="FFFFFF" w:sz="0"/>
              <w:bottom w:val="nil" w:color="FFFFFF" w:sz="0"/>
              <w:right w:val="nil" w:color="FFFFFF" w:sz="0"/>
            </w:tcBorders>
            <w:shd w:fill="C17F24" w:val="clear"/>
            <w:tcMar>
              <w:top w:type="dxa" w:w="0"/>
              <w:left w:type="dxa" w:w="0"/>
              <w:bottom w:type="dxa" w:w="0"/>
              <w:right w:type="dxa" w:w="0"/>
            </w:tcMar>
            <w:vAlign w:val="top"/>
          </w:tcPr>
          <w:p/>
        </w:tc>
        <w:tc>
          <w:tcPr>
            <w:tcW w:type="dxa" w:w="9160"/>
            <w:tcBorders>
              <w:top w:val="nil" w:color="FFFFFF" w:sz="0"/>
              <w:left w:val="nil" w:color="FFFFFF" w:sz="0"/>
              <w:bottom w:val="nil" w:color="FFFFFF" w:sz="0"/>
              <w:right w:val="nil" w:color="FFFFFF" w:sz="0"/>
            </w:tcBorders>
            <w:shd w:fill="FDF3E0" w:val="clear"/>
            <w:tcMar>
              <w:top w:type="dxa" w:w="80"/>
              <w:left w:type="dxa" w:w="160"/>
              <w:bottom w:type="dxa" w:w="80"/>
              <w:right w:type="dxa" w:w="160"/>
            </w:tcMar>
          </w:tcPr>
          <w:p>
            <w:r>
              <w:rPr>
                <w:rFonts w:ascii="Courier New" w:cs="Courier New" w:eastAsia="Courier New" w:hAnsi="Courier New"/>
                <w:b/>
                <w:bCs/>
                <w:color w:val="8B5E1A"/>
                <w:sz w:val="18"/>
                <w:szCs w:val="18"/>
              </w:rPr>
              <w:t xml:space="preserve">ISO 27001:2022 — Cláusula 7.3 (Toma de conciencia) </w:t>
            </w:r>
            <w:r>
              <w:rPr>
                <w:rFonts w:ascii="Palatino Linotype" w:cs="Palatino Linotype" w:eastAsia="Palatino Linotype" w:hAnsi="Palatino Linotype"/>
                <w:i/>
                <w:iCs/>
                <w:color w:val="2C2C2C"/>
                <w:sz w:val="18"/>
                <w:szCs w:val="18"/>
              </w:rPr>
              <w:t xml:space="preserve">El personal debe ser consciente de la política de seguridad de la información, su contribución a la eficacia del SGSI y las implicaciones de no cumplir los requisitos del sistema.</w:t>
            </w:r>
          </w:p>
        </w:tc>
      </w:tr>
    </w:tbl>
    <w:p>
      <w:pPr>
        <w:spacing w:after="40" w:before="40"/>
      </w:pPr>
    </w:p>
    <w:p>
      <w:pPr>
        <w:spacing w:after="100" w:before="80"/>
        <w:jc w:val="both"/>
      </w:pPr>
      <w:r>
        <w:rPr>
          <w:rFonts w:ascii="Palatino Linotype" w:cs="Palatino Linotype" w:eastAsia="Palatino Linotype" w:hAnsi="Palatino Linotype"/>
          <w:color w:val="2C2C2C"/>
          <w:sz w:val="21"/>
          <w:szCs w:val="21"/>
        </w:rPr>
        <w:t xml:space="preserve">El programa estará conformado por tres componentes diferenciados según su alcance, profundidad y audiencia objetivo:</w:t>
      </w:r>
    </w:p>
    <w:p>
      <w:pPr>
        <w:spacing w:after="120" w:before="280"/>
      </w:pPr>
      <w:r>
        <w:rPr>
          <w:rFonts w:ascii="Georgia" w:cs="Georgia" w:eastAsia="Georgia" w:hAnsi="Georgia"/>
          <w:b/>
          <w:bCs/>
          <w:color w:val="C17F24"/>
          <w:sz w:val="24"/>
          <w:szCs w:val="24"/>
        </w:rPr>
        <w:t xml:space="preserve">▸ a) Concientización (Awareness)</w:t>
      </w: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200"/>
        <w:gridCol w:w="9160"/>
      </w:tblGrid>
      <w:tr>
        <w:tc>
          <w:tcPr>
            <w:tcW w:type="dxa" w:w="200"/>
            <w:tcBorders>
              <w:top w:val="nil" w:color="FFFFFF" w:sz="0"/>
              <w:left w:val="nil" w:color="FFFFFF" w:sz="0"/>
              <w:bottom w:val="nil" w:color="FFFFFF" w:sz="0"/>
              <w:right w:val="nil" w:color="FFFFFF" w:sz="0"/>
            </w:tcBorders>
            <w:shd w:fill="C17F24" w:val="clear"/>
            <w:tcMar>
              <w:top w:type="dxa" w:w="0"/>
              <w:left w:type="dxa" w:w="0"/>
              <w:bottom w:type="dxa" w:w="0"/>
              <w:right w:type="dxa" w:w="0"/>
            </w:tcMar>
            <w:vAlign w:val="top"/>
          </w:tcPr>
          <w:p/>
        </w:tc>
        <w:tc>
          <w:tcPr>
            <w:tcW w:type="dxa" w:w="9160"/>
            <w:tcBorders>
              <w:top w:val="nil" w:color="FFFFFF" w:sz="0"/>
              <w:left w:val="nil" w:color="FFFFFF" w:sz="0"/>
              <w:bottom w:val="nil" w:color="FFFFFF" w:sz="0"/>
              <w:right w:val="nil" w:color="FFFFFF" w:sz="0"/>
            </w:tcBorders>
            <w:shd w:fill="FDF3E0" w:val="clear"/>
            <w:tcMar>
              <w:top w:type="dxa" w:w="80"/>
              <w:left w:type="dxa" w:w="160"/>
              <w:bottom w:type="dxa" w:w="80"/>
              <w:right w:type="dxa" w:w="160"/>
            </w:tcMar>
          </w:tcPr>
          <w:p>
            <w:r>
              <w:rPr>
                <w:rFonts w:ascii="Courier New" w:cs="Courier New" w:eastAsia="Courier New" w:hAnsi="Courier New"/>
                <w:b/>
                <w:bCs/>
                <w:color w:val="8B5E1A"/>
                <w:sz w:val="18"/>
                <w:szCs w:val="18"/>
              </w:rPr>
              <w:t xml:space="preserve">ISO 27002:2022 — Control 6.3 (Toma de conciencia, educación y formación) </w:t>
            </w:r>
            <w:r>
              <w:rPr>
                <w:rFonts w:ascii="Palatino Linotype" w:cs="Palatino Linotype" w:eastAsia="Palatino Linotype" w:hAnsi="Palatino Linotype"/>
                <w:i/>
                <w:iCs/>
                <w:color w:val="2C2C2C"/>
                <w:sz w:val="18"/>
                <w:szCs w:val="18"/>
              </w:rPr>
              <w:t xml:space="preserve">Las personas deben recibir toma de conciencia, educación y formación adecuadas, así como actualizaciones periódicas sobre las políticas y procedimientos pertinentes de la organización.</w:t>
            </w:r>
          </w:p>
        </w:tc>
      </w:tr>
    </w:tbl>
    <w:p>
      <w:pPr>
        <w:spacing w:after="100" w:before="80"/>
        <w:jc w:val="both"/>
      </w:pPr>
      <w:r>
        <w:rPr>
          <w:rFonts w:ascii="Palatino Linotype" w:cs="Palatino Linotype" w:eastAsia="Palatino Linotype" w:hAnsi="Palatino Linotype"/>
          <w:color w:val="2C2C2C"/>
          <w:sz w:val="21"/>
          <w:szCs w:val="21"/>
        </w:rPr>
        <w:t xml:space="preserve">Las campañas de concientización estarán dirigidas a la totalidad de los 120 empleados de NovaTech, con el objetivo de transformar la cultura organizacional y lograr que cada colaborador asuma su responsabilidad en la protección de la información. Este componente aplica independientemente del área o nivel jerárquico.</w:t>
      </w:r>
    </w:p>
    <w:p>
      <w:pPr>
        <w:pStyle w:val="ListParagraph"/>
        <w:numPr>
          <w:ilvl w:val="0"/>
          <w:numId w:val="2"/>
        </w:numPr>
        <w:spacing w:after="60" w:before="40"/>
      </w:pPr>
      <w:r>
        <w:rPr>
          <w:rFonts w:ascii="Palatino Linotype" w:cs="Palatino Linotype" w:eastAsia="Palatino Linotype" w:hAnsi="Palatino Linotype"/>
          <w:color w:val="2C2C2C"/>
          <w:sz w:val="21"/>
          <w:szCs w:val="21"/>
        </w:rPr>
        <w:t xml:space="preserve">Difusión mensual de buenas prácticas en el manejo y envío de información sensible, particularmente orientada al área de Atención a Clientes.</w:t>
      </w:r>
    </w:p>
    <w:p>
      <w:pPr>
        <w:pStyle w:val="ListParagraph"/>
        <w:numPr>
          <w:ilvl w:val="0"/>
          <w:numId w:val="2"/>
        </w:numPr>
        <w:spacing w:after="60" w:before="40"/>
      </w:pPr>
      <w:r>
        <w:rPr>
          <w:rFonts w:ascii="Palatino Linotype" w:cs="Palatino Linotype" w:eastAsia="Palatino Linotype" w:hAnsi="Palatino Linotype"/>
          <w:color w:val="2C2C2C"/>
          <w:sz w:val="21"/>
          <w:szCs w:val="21"/>
        </w:rPr>
        <w:t xml:space="preserve">Recordatorios periódicos sobre políticas activas del SGSI: control de accesos, uso aceptable, cierre de sesión obligatorio en equipos compartidos.</w:t>
      </w:r>
    </w:p>
    <w:p>
      <w:pPr>
        <w:pStyle w:val="ListParagraph"/>
        <w:numPr>
          <w:ilvl w:val="0"/>
          <w:numId w:val="2"/>
        </w:numPr>
        <w:spacing w:after="60" w:before="40"/>
      </w:pPr>
      <w:r>
        <w:rPr>
          <w:rFonts w:ascii="Palatino Linotype" w:cs="Palatino Linotype" w:eastAsia="Palatino Linotype" w:hAnsi="Palatino Linotype"/>
          <w:color w:val="2C2C2C"/>
          <w:sz w:val="21"/>
          <w:szCs w:val="21"/>
        </w:rPr>
        <w:t xml:space="preserve">Comunicación interna de lecciones aprendidas derivadas de incidentes reales, fortaleciendo la cultura de reporte sin represalias.</w:t>
      </w:r>
    </w:p>
    <w:p>
      <w:pPr>
        <w:pStyle w:val="ListParagraph"/>
        <w:numPr>
          <w:ilvl w:val="0"/>
          <w:numId w:val="2"/>
        </w:numPr>
        <w:spacing w:after="60" w:before="40"/>
      </w:pPr>
      <w:r>
        <w:rPr>
          <w:rFonts w:ascii="Palatino Linotype" w:cs="Palatino Linotype" w:eastAsia="Palatino Linotype" w:hAnsi="Palatino Linotype"/>
          <w:color w:val="2C2C2C"/>
          <w:sz w:val="21"/>
          <w:szCs w:val="21"/>
        </w:rPr>
        <w:t xml:space="preserve">Boletines de seguridad mensuales con alertas sobre nuevas amenazas relevantes para el sector de desarrollo de software.</w:t>
      </w:r>
    </w:p>
    <w:p>
      <w:pPr>
        <w:spacing w:after="120" w:before="280"/>
      </w:pPr>
      <w:r>
        <w:rPr>
          <w:rFonts w:ascii="Georgia" w:cs="Georgia" w:eastAsia="Georgia" w:hAnsi="Georgia"/>
          <w:b/>
          <w:bCs/>
          <w:color w:val="C17F24"/>
          <w:sz w:val="24"/>
          <w:szCs w:val="24"/>
        </w:rPr>
        <w:t xml:space="preserve">▸ b) Capacitación Formal por Rol</w:t>
      </w: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200"/>
        <w:gridCol w:w="9160"/>
      </w:tblGrid>
      <w:tr>
        <w:tc>
          <w:tcPr>
            <w:tcW w:type="dxa" w:w="200"/>
            <w:tcBorders>
              <w:top w:val="nil" w:color="FFFFFF" w:sz="0"/>
              <w:left w:val="nil" w:color="FFFFFF" w:sz="0"/>
              <w:bottom w:val="nil" w:color="FFFFFF" w:sz="0"/>
              <w:right w:val="nil" w:color="FFFFFF" w:sz="0"/>
            </w:tcBorders>
            <w:shd w:fill="C17F24" w:val="clear"/>
            <w:tcMar>
              <w:top w:type="dxa" w:w="0"/>
              <w:left w:type="dxa" w:w="0"/>
              <w:bottom w:type="dxa" w:w="0"/>
              <w:right w:type="dxa" w:w="0"/>
            </w:tcMar>
            <w:vAlign w:val="top"/>
          </w:tcPr>
          <w:p/>
        </w:tc>
        <w:tc>
          <w:tcPr>
            <w:tcW w:type="dxa" w:w="9160"/>
            <w:tcBorders>
              <w:top w:val="nil" w:color="FFFFFF" w:sz="0"/>
              <w:left w:val="nil" w:color="FFFFFF" w:sz="0"/>
              <w:bottom w:val="nil" w:color="FFFFFF" w:sz="0"/>
              <w:right w:val="nil" w:color="FFFFFF" w:sz="0"/>
            </w:tcBorders>
            <w:shd w:fill="FDF3E0" w:val="clear"/>
            <w:tcMar>
              <w:top w:type="dxa" w:w="80"/>
              <w:left w:type="dxa" w:w="160"/>
              <w:bottom w:type="dxa" w:w="80"/>
              <w:right w:type="dxa" w:w="160"/>
            </w:tcMar>
          </w:tcPr>
          <w:p>
            <w:r>
              <w:rPr>
                <w:rFonts w:ascii="Courier New" w:cs="Courier New" w:eastAsia="Courier New" w:hAnsi="Courier New"/>
                <w:b/>
                <w:bCs/>
                <w:color w:val="8B5E1A"/>
                <w:sz w:val="18"/>
                <w:szCs w:val="18"/>
              </w:rPr>
              <w:t xml:space="preserve">ISO 27001:2022 — Cláusula 7.2 (Competencia) </w:t>
            </w:r>
            <w:r>
              <w:rPr>
                <w:rFonts w:ascii="Palatino Linotype" w:cs="Palatino Linotype" w:eastAsia="Palatino Linotype" w:hAnsi="Palatino Linotype"/>
                <w:i/>
                <w:iCs/>
                <w:color w:val="2C2C2C"/>
                <w:sz w:val="18"/>
                <w:szCs w:val="18"/>
              </w:rPr>
              <w:t xml:space="preserve">Se recomienda que la organización determinar la competencia necesaria de las personas que realizan trabajo bajo su control que afecte al desempeño de la seguridad de la información.</w:t>
            </w:r>
          </w:p>
        </w:tc>
      </w:tr>
    </w:tbl>
    <w:p>
      <w:pPr>
        <w:spacing w:after="100" w:before="80"/>
        <w:jc w:val="both"/>
      </w:pPr>
      <w:r>
        <w:rPr>
          <w:rFonts w:ascii="Palatino Linotype" w:cs="Palatino Linotype" w:eastAsia="Palatino Linotype" w:hAnsi="Palatino Linotype"/>
          <w:color w:val="2C2C2C"/>
          <w:sz w:val="21"/>
          <w:szCs w:val="21"/>
        </w:rPr>
        <w:t xml:space="preserve">Se desarrollarán programas de capacitación formal diferenciados según las funciones y responsabilidades de cada área, abordando los riesgos específicos que cada departamento enfrenta.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CCCCCC" w:sz="4"/>
              <w:left w:val="single" w:color="CCCCCC" w:sz="4"/>
              <w:bottom w:val="single" w:color="CCCCCC" w:sz="4"/>
              <w:right w:val="single" w:color="CCCCCC" w:sz="4"/>
            </w:tcBorders>
            <w:shd w:fill="1B3A2D"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Área</w:t>
            </w:r>
          </w:p>
        </w:tc>
        <w:tc>
          <w:tcPr>
            <w:tcW w:type="dxa" w:w="3600"/>
            <w:tcBorders>
              <w:top w:val="single" w:color="CCCCCC" w:sz="4"/>
              <w:left w:val="single" w:color="CCCCCC" w:sz="4"/>
              <w:bottom w:val="single" w:color="CCCCCC" w:sz="4"/>
              <w:right w:val="single" w:color="CCCCCC" w:sz="4"/>
            </w:tcBorders>
            <w:shd w:fill="1B3A2D"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Contenido de Capacitación</w:t>
            </w:r>
          </w:p>
        </w:tc>
        <w:tc>
          <w:tcPr>
            <w:tcW w:type="dxa" w:w="3560"/>
            <w:tcBorders>
              <w:top w:val="single" w:color="CCCCCC" w:sz="4"/>
              <w:left w:val="single" w:color="CCCCCC" w:sz="4"/>
              <w:bottom w:val="single" w:color="CCCCCC" w:sz="4"/>
              <w:right w:val="single" w:color="CCCCCC" w:sz="4"/>
            </w:tcBorders>
            <w:shd w:fill="1B3A2D"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Riesgo que Mitiga</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Desarrollo de Software</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Codificación segura (OWASP Top 10), gestión de repositorios Git, prevención de inyecciones SQL, manejo seguro de credenciales y secretos</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Filtración o manipulación del código fuente — Activo Crítico Nivel 5/5</w:t>
            </w:r>
          </w:p>
        </w:tc>
      </w:tr>
      <w:tr>
        <w:tc>
          <w:tcPr>
            <w:tcW w:type="dxa" w:w="22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Atención a Clientes</w:t>
            </w:r>
          </w:p>
        </w:tc>
        <w:tc>
          <w:tcPr>
            <w:tcW w:type="dxa" w:w="36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Manejo de datos personales, protocolos de envío de información confidencial, uso correcto del CRM, normativa LFPDPPP y reconocimiento de ingeniería social</w:t>
            </w:r>
          </w:p>
        </w:tc>
        <w:tc>
          <w:tcPr>
            <w:tcW w:type="dxa" w:w="356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Filtración accidental de datos de clientes por canales no seguros o errores humanos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Administración</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Protección de información financiera, manejo de expedientes, control de acceso a contratos, cumplimiento LFPDPPP y segregación de funciones</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Acceso indebido a información financiera o datos personales por privilegios excesivos</w:t>
            </w:r>
          </w:p>
        </w:tc>
      </w:tr>
      <w:tr>
        <w:tc>
          <w:tcPr>
            <w:tcW w:type="dxa" w:w="22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Todos los colaboradores</w:t>
            </w:r>
          </w:p>
        </w:tc>
        <w:tc>
          <w:tcPr>
            <w:tcW w:type="dxa" w:w="36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Política de uso aceptable, cierre de sesión, reconocimiento de phishing, reporte de incidentes y responsabilidades del SGSI</w:t>
            </w:r>
          </w:p>
        </w:tc>
        <w:tc>
          <w:tcPr>
            <w:tcW w:type="dxa" w:w="356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Errores humanos generales y accesos no autorizados por descuido o desconocimiento</w:t>
            </w:r>
          </w:p>
        </w:tc>
      </w:tr>
    </w:tbl>
    <w:p>
      <w:pPr>
        <w:spacing w:after="120" w:before="280"/>
      </w:pPr>
      <w:r>
        <w:rPr>
          <w:rFonts w:ascii="Georgia" w:cs="Georgia" w:eastAsia="Georgia" w:hAnsi="Georgia"/>
          <w:b/>
          <w:bCs/>
          <w:color w:val="C17F24"/>
          <w:sz w:val="24"/>
          <w:szCs w:val="24"/>
        </w:rPr>
        <w:t xml:space="preserve">▸ c) Entrenamiento Práctico</w:t>
      </w: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200"/>
        <w:gridCol w:w="9160"/>
      </w:tblGrid>
      <w:tr>
        <w:tc>
          <w:tcPr>
            <w:tcW w:type="dxa" w:w="200"/>
            <w:tcBorders>
              <w:top w:val="nil" w:color="FFFFFF" w:sz="0"/>
              <w:left w:val="nil" w:color="FFFFFF" w:sz="0"/>
              <w:bottom w:val="nil" w:color="FFFFFF" w:sz="0"/>
              <w:right w:val="nil" w:color="FFFFFF" w:sz="0"/>
            </w:tcBorders>
            <w:shd w:fill="C17F24" w:val="clear"/>
            <w:tcMar>
              <w:top w:type="dxa" w:w="0"/>
              <w:left w:type="dxa" w:w="0"/>
              <w:bottom w:type="dxa" w:w="0"/>
              <w:right w:type="dxa" w:w="0"/>
            </w:tcMar>
            <w:vAlign w:val="top"/>
          </w:tcPr>
          <w:p/>
        </w:tc>
        <w:tc>
          <w:tcPr>
            <w:tcW w:type="dxa" w:w="9160"/>
            <w:tcBorders>
              <w:top w:val="nil" w:color="FFFFFF" w:sz="0"/>
              <w:left w:val="nil" w:color="FFFFFF" w:sz="0"/>
              <w:bottom w:val="nil" w:color="FFFFFF" w:sz="0"/>
              <w:right w:val="nil" w:color="FFFFFF" w:sz="0"/>
            </w:tcBorders>
            <w:shd w:fill="FDF3E0" w:val="clear"/>
            <w:tcMar>
              <w:top w:type="dxa" w:w="80"/>
              <w:left w:type="dxa" w:w="160"/>
              <w:bottom w:type="dxa" w:w="80"/>
              <w:right w:type="dxa" w:w="160"/>
            </w:tcMar>
          </w:tcPr>
          <w:p>
            <w:r>
              <w:rPr>
                <w:rFonts w:ascii="Courier New" w:cs="Courier New" w:eastAsia="Courier New" w:hAnsi="Courier New"/>
                <w:b/>
                <w:bCs/>
                <w:color w:val="8B5E1A"/>
                <w:sz w:val="18"/>
                <w:szCs w:val="18"/>
              </w:rPr>
              <w:t xml:space="preserve">ISO 27002:2022 — Control 6.3 (Toma de conciencia, educación y formación) </w:t>
            </w:r>
            <w:r>
              <w:rPr>
                <w:rFonts w:ascii="Palatino Linotype" w:cs="Palatino Linotype" w:eastAsia="Palatino Linotype" w:hAnsi="Palatino Linotype"/>
                <w:i/>
                <w:iCs/>
                <w:color w:val="2C2C2C"/>
                <w:sz w:val="18"/>
                <w:szCs w:val="18"/>
              </w:rPr>
              <w:t xml:space="preserve">Las actividades de toma de conciencia deben incluir ejercicios de simulación de ataques de ingeniería social, entre otros mecanismos prácticos de evaluación.</w:t>
            </w:r>
          </w:p>
        </w:tc>
      </w:tr>
    </w:tbl>
    <w:p>
      <w:pPr>
        <w:spacing w:after="100" w:before="80"/>
        <w:jc w:val="both"/>
      </w:pPr>
      <w:r>
        <w:rPr>
          <w:rFonts w:ascii="Palatino Linotype" w:cs="Palatino Linotype" w:eastAsia="Palatino Linotype" w:hAnsi="Palatino Linotype"/>
          <w:color w:val="2C2C2C"/>
          <w:sz w:val="21"/>
          <w:szCs w:val="21"/>
        </w:rPr>
        <w:t xml:space="preserve">El entrenamiento práctico tiene como finalidad poner a prueba el comportamiento real de los empleados ante situaciones de riesgo controladas, complementando la formación teórica con experiencias que generan datos medibles de efectividad.</w:t>
      </w:r>
    </w:p>
    <w:p>
      <w:pPr>
        <w:pStyle w:val="ListParagraph"/>
        <w:numPr>
          <w:ilvl w:val="0"/>
          <w:numId w:val="2"/>
        </w:numPr>
        <w:spacing w:after="60" w:before="40"/>
      </w:pPr>
      <w:r>
        <w:rPr>
          <w:rFonts w:ascii="Palatino Linotype" w:cs="Palatino Linotype" w:eastAsia="Palatino Linotype" w:hAnsi="Palatino Linotype"/>
          <w:b/>
          <w:bCs/>
          <w:color w:val="2C2C2C"/>
          <w:sz w:val="21"/>
          <w:szCs w:val="21"/>
        </w:rPr>
        <w:t xml:space="preserve">Simulaciones de phishing: </w:t>
      </w:r>
      <w:r>
        <w:rPr>
          <w:rFonts w:ascii="Palatino Linotype" w:cs="Palatino Linotype" w:eastAsia="Palatino Linotype" w:hAnsi="Palatino Linotype"/>
          <w:color w:val="2C2C2C"/>
          <w:sz w:val="21"/>
          <w:szCs w:val="21"/>
        </w:rPr>
        <w:t xml:space="preserve">Envío de correos electrónicos de prueba para medir la tasa de clics del personal antes y después de las campañas, generando métricas comparativas de mejora conductual.</w:t>
      </w:r>
    </w:p>
    <w:p>
      <w:pPr>
        <w:pStyle w:val="ListParagraph"/>
        <w:numPr>
          <w:ilvl w:val="0"/>
          <w:numId w:val="2"/>
        </w:numPr>
        <w:spacing w:after="60" w:before="40"/>
      </w:pPr>
      <w:r>
        <w:rPr>
          <w:rFonts w:ascii="Palatino Linotype" w:cs="Palatino Linotype" w:eastAsia="Palatino Linotype" w:hAnsi="Palatino Linotype"/>
          <w:b/>
          <w:bCs/>
          <w:color w:val="2C2C2C"/>
          <w:sz w:val="21"/>
          <w:szCs w:val="21"/>
        </w:rPr>
        <w:t xml:space="preserve">Escenarios de ingeniería social: </w:t>
      </w:r>
      <w:r>
        <w:rPr>
          <w:rFonts w:ascii="Palatino Linotype" w:cs="Palatino Linotype" w:eastAsia="Palatino Linotype" w:hAnsi="Palatino Linotype"/>
          <w:color w:val="2C2C2C"/>
          <w:sz w:val="21"/>
          <w:szCs w:val="21"/>
        </w:rPr>
        <w:t xml:space="preserve">Pruebas estructuradas para evaluar si el personal entrega información sensible a través de llamadas telefónicas o sitios web falsos.</w:t>
      </w:r>
    </w:p>
    <w:p>
      <w:pPr>
        <w:pStyle w:val="ListParagraph"/>
        <w:numPr>
          <w:ilvl w:val="0"/>
          <w:numId w:val="2"/>
        </w:numPr>
        <w:spacing w:after="60" w:before="40"/>
      </w:pPr>
      <w:r>
        <w:rPr>
          <w:rFonts w:ascii="Palatino Linotype" w:cs="Palatino Linotype" w:eastAsia="Palatino Linotype" w:hAnsi="Palatino Linotype"/>
          <w:b/>
          <w:bCs/>
          <w:color w:val="2C2C2C"/>
          <w:sz w:val="21"/>
          <w:szCs w:val="21"/>
        </w:rPr>
        <w:t xml:space="preserve">Simulacros de respuesta a incidentes: </w:t>
      </w:r>
      <w:r>
        <w:rPr>
          <w:rFonts w:ascii="Palatino Linotype" w:cs="Palatino Linotype" w:eastAsia="Palatino Linotype" w:hAnsi="Palatino Linotype"/>
          <w:color w:val="2C2C2C"/>
          <w:sz w:val="21"/>
          <w:szCs w:val="21"/>
        </w:rPr>
        <w:t xml:space="preserve">Ejercicios coordinados con el CSIRT donde los colaboradores practican el ciclo completo de detección, reporte y contención.</w:t>
      </w:r>
    </w:p>
    <w:p>
      <w:pPr>
        <w:pStyle w:val="ListParagraph"/>
        <w:numPr>
          <w:ilvl w:val="0"/>
          <w:numId w:val="2"/>
        </w:numPr>
        <w:spacing w:after="60" w:before="40"/>
      </w:pPr>
      <w:r>
        <w:rPr>
          <w:rFonts w:ascii="Palatino Linotype" w:cs="Palatino Linotype" w:eastAsia="Palatino Linotype" w:hAnsi="Palatino Linotype"/>
          <w:b/>
          <w:bCs/>
          <w:color w:val="2C2C2C"/>
          <w:sz w:val="21"/>
          <w:szCs w:val="21"/>
        </w:rPr>
        <w:t xml:space="preserve">Tabletop exercises: </w:t>
      </w:r>
      <w:r>
        <w:rPr>
          <w:rFonts w:ascii="Palatino Linotype" w:cs="Palatino Linotype" w:eastAsia="Palatino Linotype" w:hAnsi="Palatino Linotype"/>
          <w:color w:val="2C2C2C"/>
          <w:sz w:val="21"/>
          <w:szCs w:val="21"/>
        </w:rPr>
        <w:t xml:space="preserve">Sesiones de discusión estructurada donde el equipo directivo simula decisiones ante escenarios de crisis como ransomware, pérdida de datos o caída de infraestructura.</w:t>
      </w:r>
    </w:p>
    <w:p>
      <w:pPr>
        <w:pBdr>
          <w:top w:val="none" w:color="FFFFFF" w:sz="0" w:space="0"/>
          <w:left w:val="single" w:color="1B3A2D" w:sz="24" w:space="0"/>
          <w:bottom w:val="single" w:color="C17F24" w:sz="12" w:space="6"/>
          <w:right w:val="none" w:color="FFFFFF" w:sz="0" w:space="0"/>
        </w:pBdr>
        <w:spacing w:after="240" w:before="480"/>
        <w:ind w:left="200"/>
      </w:pPr>
      <w:r>
        <w:rPr>
          <w:rFonts w:ascii="Georgia" w:cs="Georgia" w:eastAsia="Georgia" w:hAnsi="Georgia"/>
          <w:b/>
          <w:bCs/>
          <w:color w:val="1B3A2D"/>
          <w:sz w:val="34"/>
          <w:szCs w:val="34"/>
        </w:rPr>
        <w:t xml:space="preserve">10.3 Evaluación y Mejora del Programa</w:t>
      </w:r>
    </w:p>
    <w:p>
      <w:pPr>
        <w:spacing w:after="40" w:before="40"/>
      </w:pP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200"/>
        <w:gridCol w:w="9160"/>
      </w:tblGrid>
      <w:tr>
        <w:tc>
          <w:tcPr>
            <w:tcW w:type="dxa" w:w="200"/>
            <w:tcBorders>
              <w:top w:val="nil" w:color="FFFFFF" w:sz="0"/>
              <w:left w:val="nil" w:color="FFFFFF" w:sz="0"/>
              <w:bottom w:val="nil" w:color="FFFFFF" w:sz="0"/>
              <w:right w:val="nil" w:color="FFFFFF" w:sz="0"/>
            </w:tcBorders>
            <w:shd w:fill="C17F24" w:val="clear"/>
            <w:tcMar>
              <w:top w:type="dxa" w:w="0"/>
              <w:left w:type="dxa" w:w="0"/>
              <w:bottom w:type="dxa" w:w="0"/>
              <w:right w:type="dxa" w:w="0"/>
            </w:tcMar>
            <w:vAlign w:val="top"/>
          </w:tcPr>
          <w:p/>
        </w:tc>
        <w:tc>
          <w:tcPr>
            <w:tcW w:type="dxa" w:w="9160"/>
            <w:tcBorders>
              <w:top w:val="nil" w:color="FFFFFF" w:sz="0"/>
              <w:left w:val="nil" w:color="FFFFFF" w:sz="0"/>
              <w:bottom w:val="nil" w:color="FFFFFF" w:sz="0"/>
              <w:right w:val="nil" w:color="FFFFFF" w:sz="0"/>
            </w:tcBorders>
            <w:shd w:fill="FDF3E0" w:val="clear"/>
            <w:tcMar>
              <w:top w:type="dxa" w:w="80"/>
              <w:left w:type="dxa" w:w="160"/>
              <w:bottom w:type="dxa" w:w="80"/>
              <w:right w:type="dxa" w:w="160"/>
            </w:tcMar>
          </w:tcPr>
          <w:p>
            <w:r>
              <w:rPr>
                <w:rFonts w:ascii="Courier New" w:cs="Courier New" w:eastAsia="Courier New" w:hAnsi="Courier New"/>
                <w:b/>
                <w:bCs/>
                <w:color w:val="8B5E1A"/>
                <w:sz w:val="18"/>
                <w:szCs w:val="18"/>
              </w:rPr>
              <w:t xml:space="preserve">ISO 27001:2022 — Cláusula 9.1 (Seguimiento, medición, análisis y evaluación) </w:t>
            </w:r>
            <w:r>
              <w:rPr>
                <w:rFonts w:ascii="Palatino Linotype" w:cs="Palatino Linotype" w:eastAsia="Palatino Linotype" w:hAnsi="Palatino Linotype"/>
                <w:i/>
                <w:iCs/>
                <w:color w:val="2C2C2C"/>
                <w:sz w:val="18"/>
                <w:szCs w:val="18"/>
              </w:rPr>
              <w:t xml:space="preserve">Se recomienda que la organización evaluar el desempeño de la seguridad de la información y la eficacia del SGSI, determinando qué necesita seguimiento y medición, y cuándo se deben analizar y evaluar los resultados.</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4"/>
              <w:left w:val="single" w:color="CCCCCC" w:sz="4"/>
              <w:bottom w:val="single" w:color="CCCCCC" w:sz="4"/>
              <w:right w:val="single" w:color="CCCCCC" w:sz="4"/>
            </w:tcBorders>
            <w:shd w:fill="1B3A2D"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Indicador de Efectividad</w:t>
            </w:r>
          </w:p>
        </w:tc>
        <w:tc>
          <w:tcPr>
            <w:tcW w:type="dxa" w:w="3120"/>
            <w:tcBorders>
              <w:top w:val="single" w:color="CCCCCC" w:sz="4"/>
              <w:left w:val="single" w:color="CCCCCC" w:sz="4"/>
              <w:bottom w:val="single" w:color="CCCCCC" w:sz="4"/>
              <w:right w:val="single" w:color="CCCCCC" w:sz="4"/>
            </w:tcBorders>
            <w:shd w:fill="1B3A2D"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Qué Mide</w:t>
            </w:r>
          </w:p>
        </w:tc>
        <w:tc>
          <w:tcPr>
            <w:tcW w:type="dxa" w:w="3120"/>
            <w:tcBorders>
              <w:top w:val="single" w:color="CCCCCC" w:sz="4"/>
              <w:left w:val="single" w:color="CCCCCC" w:sz="4"/>
              <w:bottom w:val="single" w:color="CCCCCC" w:sz="4"/>
              <w:right w:val="single" w:color="CCCCCC" w:sz="4"/>
            </w:tcBorders>
            <w:shd w:fill="1B3A2D"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Meta Sugerida</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 de empleados capacitados por rol</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Cobertura del programa por área y nivel de responsabilidad</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 95% anual</w:t>
            </w:r>
          </w:p>
        </w:tc>
      </w:tr>
      <w:tr>
        <w:tc>
          <w:tcPr>
            <w:tcW w:type="dxa" w:w="312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Tasa de clics en phishing simulado</w:t>
            </w:r>
          </w:p>
        </w:tc>
        <w:tc>
          <w:tcPr>
            <w:tcW w:type="dxa" w:w="312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Efectividad conductual del entrenamiento anti-phishing antes y después de intervención</w:t>
            </w:r>
          </w:p>
        </w:tc>
        <w:tc>
          <w:tcPr>
            <w:tcW w:type="dxa" w:w="312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Reducción ≥ 50% en 6 meses</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Calificación promedio en evaluaciones</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Comprensión de políticas y procedimientos según función</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Promedio ≥ 80% por área</w:t>
            </w:r>
          </w:p>
        </w:tc>
      </w:tr>
      <w:tr>
        <w:tc>
          <w:tcPr>
            <w:tcW w:type="dxa" w:w="312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Incidentes atribuibles a error humano</w:t>
            </w:r>
          </w:p>
        </w:tc>
        <w:tc>
          <w:tcPr>
            <w:tcW w:type="dxa" w:w="312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Impacto real del programa en incidentes operativos documentados</w:t>
            </w:r>
          </w:p>
        </w:tc>
        <w:tc>
          <w:tcPr>
            <w:tcW w:type="dxa" w:w="312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Reducción interanual documentada</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Registros de participación y evidencia</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Trazabilidad del programa para auditorías internas y verificación de cumplimiento</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100% de sesiones con registro formal</w:t>
            </w:r>
          </w:p>
        </w:tc>
      </w:tr>
    </w:tbl>
    <w:p>
      <w:pPr>
        <w:pBdr>
          <w:top w:val="none" w:color="FFFFFF" w:sz="0" w:space="0"/>
          <w:left w:val="single" w:color="1B3A2D" w:sz="24" w:space="0"/>
          <w:bottom w:val="single" w:color="C17F24" w:sz="12" w:space="6"/>
          <w:right w:val="none" w:color="FFFFFF" w:sz="0" w:space="0"/>
        </w:pBdr>
        <w:spacing w:after="240" w:before="480"/>
        <w:ind w:left="200"/>
      </w:pPr>
      <w:r>
        <w:rPr>
          <w:rFonts w:ascii="Georgia" w:cs="Georgia" w:eastAsia="Georgia" w:hAnsi="Georgia"/>
          <w:b/>
          <w:bCs/>
          <w:color w:val="1B3A2D"/>
          <w:sz w:val="34"/>
          <w:szCs w:val="34"/>
        </w:rPr>
        <w:t xml:space="preserve">10.4 Frecuencia, Responsables y Registro Documental</w:t>
      </w:r>
    </w:p>
    <w:p>
      <w:pPr>
        <w:spacing w:after="40" w:before="40"/>
      </w:pP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200"/>
        <w:gridCol w:w="9160"/>
      </w:tblGrid>
      <w:tr>
        <w:tc>
          <w:tcPr>
            <w:tcW w:type="dxa" w:w="200"/>
            <w:tcBorders>
              <w:top w:val="nil" w:color="FFFFFF" w:sz="0"/>
              <w:left w:val="nil" w:color="FFFFFF" w:sz="0"/>
              <w:bottom w:val="nil" w:color="FFFFFF" w:sz="0"/>
              <w:right w:val="nil" w:color="FFFFFF" w:sz="0"/>
            </w:tcBorders>
            <w:shd w:fill="C17F24" w:val="clear"/>
            <w:tcMar>
              <w:top w:type="dxa" w:w="0"/>
              <w:left w:type="dxa" w:w="0"/>
              <w:bottom w:type="dxa" w:w="0"/>
              <w:right w:type="dxa" w:w="0"/>
            </w:tcMar>
            <w:vAlign w:val="top"/>
          </w:tcPr>
          <w:p/>
        </w:tc>
        <w:tc>
          <w:tcPr>
            <w:tcW w:type="dxa" w:w="9160"/>
            <w:tcBorders>
              <w:top w:val="nil" w:color="FFFFFF" w:sz="0"/>
              <w:left w:val="nil" w:color="FFFFFF" w:sz="0"/>
              <w:bottom w:val="nil" w:color="FFFFFF" w:sz="0"/>
              <w:right w:val="nil" w:color="FFFFFF" w:sz="0"/>
            </w:tcBorders>
            <w:shd w:fill="FDF3E0" w:val="clear"/>
            <w:tcMar>
              <w:top w:type="dxa" w:w="80"/>
              <w:left w:type="dxa" w:w="160"/>
              <w:bottom w:type="dxa" w:w="80"/>
              <w:right w:type="dxa" w:w="160"/>
            </w:tcMar>
          </w:tcPr>
          <w:p>
            <w:r>
              <w:rPr>
                <w:rFonts w:ascii="Courier New" w:cs="Courier New" w:eastAsia="Courier New" w:hAnsi="Courier New"/>
                <w:b/>
                <w:bCs/>
                <w:color w:val="8B5E1A"/>
                <w:sz w:val="18"/>
                <w:szCs w:val="18"/>
              </w:rPr>
              <w:t xml:space="preserve">ISO 27001:2022 — Cláusula 7.5 (Información documentada) </w:t>
            </w:r>
            <w:r>
              <w:rPr>
                <w:rFonts w:ascii="Palatino Linotype" w:cs="Palatino Linotype" w:eastAsia="Palatino Linotype" w:hAnsi="Palatino Linotype"/>
                <w:i/>
                <w:iCs/>
                <w:color w:val="2C2C2C"/>
                <w:sz w:val="18"/>
                <w:szCs w:val="18"/>
              </w:rPr>
              <w:t xml:space="preserve">El SGSI debe incluir información documentada requerida por la norma, incluyendo evidencia de competencia del personal. Esta evidencia es requisito para demostrar conformidad durante auditorías internas y externas.</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2200"/>
        <w:gridCol w:w="2760"/>
      </w:tblGrid>
      <w:tr>
        <w:trPr>
          <w:tblHeader/>
        </w:trPr>
        <w:tc>
          <w:tcPr>
            <w:tcW w:type="dxa" w:w="2600"/>
            <w:tcBorders>
              <w:top w:val="single" w:color="CCCCCC" w:sz="4"/>
              <w:left w:val="single" w:color="CCCCCC" w:sz="4"/>
              <w:bottom w:val="single" w:color="CCCCCC" w:sz="4"/>
              <w:right w:val="single" w:color="CCCCCC" w:sz="4"/>
            </w:tcBorders>
            <w:shd w:fill="1B3A2D"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Componente</w:t>
            </w:r>
          </w:p>
        </w:tc>
        <w:tc>
          <w:tcPr>
            <w:tcW w:type="dxa" w:w="1800"/>
            <w:tcBorders>
              <w:top w:val="single" w:color="CCCCCC" w:sz="4"/>
              <w:left w:val="single" w:color="CCCCCC" w:sz="4"/>
              <w:bottom w:val="single" w:color="CCCCCC" w:sz="4"/>
              <w:right w:val="single" w:color="CCCCCC" w:sz="4"/>
            </w:tcBorders>
            <w:shd w:fill="1B3A2D"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Frecuencia</w:t>
            </w:r>
          </w:p>
        </w:tc>
        <w:tc>
          <w:tcPr>
            <w:tcW w:type="dxa" w:w="2200"/>
            <w:tcBorders>
              <w:top w:val="single" w:color="CCCCCC" w:sz="4"/>
              <w:left w:val="single" w:color="CCCCCC" w:sz="4"/>
              <w:bottom w:val="single" w:color="CCCCCC" w:sz="4"/>
              <w:right w:val="single" w:color="CCCCCC" w:sz="4"/>
            </w:tcBorders>
            <w:shd w:fill="1B3A2D"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Responsable</w:t>
            </w:r>
          </w:p>
        </w:tc>
        <w:tc>
          <w:tcPr>
            <w:tcW w:type="dxa" w:w="2760"/>
            <w:tcBorders>
              <w:top w:val="single" w:color="CCCCCC" w:sz="4"/>
              <w:left w:val="single" w:color="CCCCCC" w:sz="4"/>
              <w:bottom w:val="single" w:color="CCCCCC" w:sz="4"/>
              <w:right w:val="single" w:color="CCCCCC" w:sz="4"/>
            </w:tcBorders>
            <w:shd w:fill="1B3A2D"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Evidencia Requerida</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Concientización (awareness)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Continua — mensual</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CISO / RR.HH.</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Registros de difusión, acuses de listas de distribución</w:t>
            </w:r>
          </w:p>
        </w:tc>
      </w:tr>
      <w:tr>
        <w:tc>
          <w:tcPr>
            <w:tcW w:type="dxa" w:w="26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Capacitación formal por rol</w:t>
            </w:r>
          </w:p>
        </w:tc>
        <w:tc>
          <w:tcPr>
            <w:tcW w:type="dxa" w:w="18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Al ingreso y anualmente</w:t>
            </w:r>
          </w:p>
        </w:tc>
        <w:tc>
          <w:tcPr>
            <w:tcW w:type="dxa" w:w="22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CISO / Líderes de área</w:t>
            </w:r>
          </w:p>
        </w:tc>
        <w:tc>
          <w:tcPr>
            <w:tcW w:type="dxa" w:w="276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Listas de asistencia firmadas, resultados de evaluaciones, certificados</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Simulaciones de phishing y entrenamiento</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Semestral</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CISO / CSIRT</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Reporte estadístico de resultados por ejercicio y por área</w:t>
            </w:r>
          </w:p>
        </w:tc>
      </w:tr>
      <w:tr>
        <w:tc>
          <w:tcPr>
            <w:tcW w:type="dxa" w:w="26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Tabletop exercises — nivel directivo</w:t>
            </w:r>
          </w:p>
        </w:tc>
        <w:tc>
          <w:tcPr>
            <w:tcW w:type="dxa" w:w="18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Anual</w:t>
            </w:r>
          </w:p>
        </w:tc>
        <w:tc>
          <w:tcPr>
            <w:tcW w:type="dxa" w:w="22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CISO / Dirección General</w:t>
            </w:r>
          </w:p>
        </w:tc>
        <w:tc>
          <w:tcPr>
            <w:tcW w:type="dxa" w:w="276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Acta de sesión firmada, decisiones documentadas y plan de acciones</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Reporte de efectividad al Comité</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Trimestral</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CISO</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Tablero de KPIs del programa con tendencias y acciones correctivas</w:t>
            </w:r>
          </w:p>
        </w:tc>
      </w:tr>
    </w:tbl>
    <w:p>
      <w:pPr>
        <w:spacing w:after="40" w:before="40"/>
      </w:pP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200"/>
        <w:gridCol w:w="9160"/>
      </w:tblGrid>
      <w:tr>
        <w:tc>
          <w:tcPr>
            <w:tcW w:type="dxa" w:w="200"/>
            <w:tcBorders>
              <w:top w:val="nil" w:color="FFFFFF" w:sz="0"/>
              <w:left w:val="nil" w:color="FFFFFF" w:sz="0"/>
              <w:bottom w:val="nil" w:color="FFFFFF" w:sz="0"/>
              <w:right w:val="nil" w:color="FFFFFF" w:sz="0"/>
            </w:tcBorders>
            <w:shd w:fill="1B3A2D" w:val="clear"/>
            <w:tcMar>
              <w:top w:type="dxa" w:w="0"/>
              <w:left w:type="dxa" w:w="0"/>
              <w:bottom w:type="dxa" w:w="0"/>
              <w:right w:type="dxa" w:w="0"/>
            </w:tcMar>
          </w:tcPr>
          <w:p/>
        </w:tc>
        <w:tc>
          <w:tcPr>
            <w:tcW w:type="dxa" w:w="9160"/>
            <w:tcBorders>
              <w:top w:val="nil" w:color="FFFFFF" w:sz="0"/>
              <w:left w:val="nil" w:color="FFFFFF" w:sz="0"/>
              <w:bottom w:val="nil" w:color="FFFFFF" w:sz="0"/>
              <w:right w:val="nil" w:color="FFFFFF" w:sz="0"/>
            </w:tcBorders>
            <w:shd w:fill="E8EDE9" w:val="clear"/>
            <w:tcMar>
              <w:top w:type="dxa" w:w="80"/>
              <w:left w:type="dxa" w:w="160"/>
              <w:bottom w:type="dxa" w:w="80"/>
              <w:right w:type="dxa" w:w="160"/>
            </w:tcMar>
          </w:tcPr>
          <w:p>
            <w:r>
              <w:rPr>
                <w:rFonts w:ascii="Courier New" w:cs="Courier New" w:eastAsia="Courier New" w:hAnsi="Courier New"/>
                <w:b/>
                <w:bCs/>
                <w:color w:val="1B3A2D"/>
                <w:sz w:val="17"/>
                <w:szCs w:val="17"/>
              </w:rPr>
              <w:t xml:space="preserve">Referencia normativa consolidada — </w:t>
            </w:r>
            <w:r>
              <w:rPr>
                <w:rFonts w:ascii="Palatino Linotype" w:cs="Palatino Linotype" w:eastAsia="Palatino Linotype" w:hAnsi="Palatino Linotype"/>
                <w:i/>
                <w:iCs/>
                <w:color w:val="2C2C2C"/>
                <w:sz w:val="17"/>
                <w:szCs w:val="17"/>
              </w:rPr>
              <w:t xml:space="preserve">ISO/IEC 27001:2022 · Cláusulas 7.2, 7.3, 7.5, 9.1, 9.3, 10 — ISO/IEC 27002:2022 · Control 6.3 — LFPDPPP (México) · Obligaciones del Responsable — OCTAVE Allegro · Escenarios de riesgo identificados en Fase 4</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2D" w:sz="6" w:space="4"/>
      </w:pBdr>
      <w:tabs>
        <w:tab w:val="right" w:pos="9360"/>
      </w:tabs>
      <w:spacing w:before="80"/>
    </w:pPr>
    <w:r>
      <w:rPr>
        <w:rFonts w:ascii="Georgia" w:cs="Georgia" w:eastAsia="Georgia" w:hAnsi="Georgia"/>
        <w:color w:val="D6CDB8"/>
        <w:sz w:val="16"/>
        <w:szCs w:val="16"/>
      </w:rPr>
      <w:t xml:space="preserve">Confidencial — Uso Interno Restringido</w:t>
    </w:r>
    <w:r>
      <w:rPr>
        <w:sz w:val="16"/>
        <w:szCs w:val="16"/>
      </w:rPr>
      <w:t xml:space="preserv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17F24" w:sz="6" w:space="4"/>
      </w:pBdr>
      <w:tabs>
        <w:tab w:val="right" w:pos="9360"/>
      </w:tabs>
      <w:spacing w:after="80"/>
    </w:pPr>
    <w:r>
      <w:rPr>
        <w:rFonts w:ascii="Georgia" w:cs="Georgia" w:eastAsia="Georgia" w:hAnsi="Georgia"/>
        <w:b/>
        <w:bCs/>
        <w:color w:val="8B5E1A"/>
        <w:sz w:val="17"/>
        <w:szCs w:val="17"/>
      </w:rPr>
      <w:t xml:space="preserve">SGSI — NovaTech Solutions</w:t>
    </w:r>
    <w:r>
      <w:rPr>
        <w:rFonts w:ascii="Georgia" w:cs="Georgia" w:eastAsia="Georgia" w:hAnsi="Georgia"/>
        <w:color w:val="D6CDB8"/>
        <w:sz w:val="17"/>
        <w:szCs w:val="17"/>
      </w:rPr>
      <w:t xml:space="preserve">	Fase 10 · Capacitación y Concientización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40"/>
        <w:ind w:left="720" w:hanging="360"/>
      </w:pPr>
      <w:rPr>
        <w:rFonts w:ascii="Palatino Linotype" w:cs="Palatino Linotype" w:eastAsia="Palatino Linotype" w:hAnsi="Palatino Linotype"/>
        <w:color w:val="C17F24"/>
        <w:sz w:val="21"/>
        <w:szCs w:val="21"/>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2026-05-03T08:21:01.946Z</dcterms:created>
  <dcterms:modified xsi:type="dcterms:W3CDTF">2026-05-03T08:21:01.946Z</dcterms:modified>
</cp:coreProperties>
</file>

<file path=docProps/custom.xml><?xml version="1.0" encoding="utf-8"?>
<Properties xmlns="http://schemas.openxmlformats.org/officeDocument/2006/custom-properties" xmlns:vt="http://schemas.openxmlformats.org/officeDocument/2006/docPropsVTypes"/>
</file>