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11 — AUDITORÍA INTERNA Y MÉTRICAS DE SEGURIDAD</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11.1 Propósito y Alcance de la Auditoría Interna</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9.2 (Auditoría interna) </w:t>
            </w:r>
            <w:r>
              <w:rPr>
                <w:rFonts w:ascii="Palatino Linotype" w:cs="Palatino Linotype" w:eastAsia="Palatino Linotype" w:hAnsi="Palatino Linotype"/>
                <w:i/>
                <w:iCs/>
                <w:color w:val="2C2C2C"/>
                <w:sz w:val="18"/>
                <w:szCs w:val="18"/>
              </w:rPr>
              <w:t xml:space="preserve">Se recomienda que la organización llevar a cabo auditorías internas a intervalos planificados para proporcionar información acerca de si el SGSI es conforme con los requisitos de la norma y se implementa y mantiene eficazmente.</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 SGSI que no se evalúa es un sistema que inevitablemente se vuelve obsoleto. La auditoría interna es el mecanismo formal mediante el cual NovaTech Solutions verifica de forma periódica y sistemática que su SGSI funciona según lo diseñado, cumple con los requisitos de ISO 27001:2022 y genera los resultados de seguridad para los que fue concebido. No se trata de una revisión burocrática, sino de una herramienta de mejora continua con implicaciones directas sobre la postura de seguridad de la organización.</w:t>
      </w:r>
    </w:p>
    <w:p>
      <w:pPr>
        <w:spacing w:after="100" w:before="80"/>
        <w:jc w:val="both"/>
      </w:pPr>
      <w:r>
        <w:rPr>
          <w:rFonts w:ascii="Palatino Linotype" w:cs="Palatino Linotype" w:eastAsia="Palatino Linotype" w:hAnsi="Palatino Linotype"/>
          <w:color w:val="2C2C2C"/>
          <w:sz w:val="21"/>
          <w:szCs w:val="21"/>
        </w:rPr>
        <w:t xml:space="preserve">El programa de auditoría interna debe cubrir todos los componentes del SGSI al menos una vez al año, con mayor frecuencia en los dominios de mayor riesgo. El CISO diseña el plan anual de auditorías, que requeriría ser aprobado por el Comité de Seguridad. Los auditores internos designados deben poseer la competencia necesaria y deben ser independientes del área auditada para garantizar la objetividad del proceso.</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11.2 Sistema de Métricas e Indicadores de Seguridad (KPIs)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9.1 (Seguimiento, medición, análisis y evaluación) </w:t>
            </w:r>
            <w:r>
              <w:rPr>
                <w:rFonts w:ascii="Palatino Linotype" w:cs="Palatino Linotype" w:eastAsia="Palatino Linotype" w:hAnsi="Palatino Linotype"/>
                <w:i/>
                <w:iCs/>
                <w:color w:val="2C2C2C"/>
                <w:sz w:val="18"/>
                <w:szCs w:val="18"/>
              </w:rPr>
              <w:t xml:space="preserve">Se recomienda que la organización evaluar el desempeño de la seguridad de la información, determinando a qué se le hará seguimiento, los métodos de análisis y evaluación, cuándo se realizarán y quién los analizará.</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Los indicadores clave de seguridad (KPIs) son la evidencia cuantificable que permite a la Dirección General de NovaTech tomar decisiones informadas sobre el estado del SGSI. Sin métricas, la dirección solo puede percibir los problemas como incidentes aislados; con métricas, puede identificar tendencias, medir la efectividad de los controles y justificar inversiones en seguridad con base en datos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360"/>
      </w:tblGrid>
      <w:tr>
        <w:trPr>
          <w:tblHeader/>
        </w:trPr>
        <w:tc>
          <w:tcPr>
            <w:tcW w:type="dxa" w:w="2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Indicador (KPI)</w:t>
            </w:r>
          </w:p>
        </w:tc>
        <w:tc>
          <w:tcPr>
            <w:tcW w:type="dxa" w:w="2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Qué Mide</w:t>
            </w:r>
          </w:p>
        </w:tc>
        <w:tc>
          <w:tcPr>
            <w:tcW w:type="dxa" w:w="1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Frecuencia</w:t>
            </w:r>
          </w:p>
        </w:tc>
        <w:tc>
          <w:tcPr>
            <w:tcW w:type="dxa" w:w="23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Meta / Umbral de Alerta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Número de incidentes por nivel de severidad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Tendencia en la ocurrencia de incidentes P1-P4 en el período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Mensual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Incidentes P1: 0 / P2: tendencia decreciente</w:t>
            </w:r>
          </w:p>
        </w:tc>
      </w:tr>
      <w:tr>
        <w:tc>
          <w:tcPr>
            <w:tcW w:type="dxa" w:w="2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Tiempo Medio de Detección (MTTD)</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Eficiencia de los controles detectivos; velocidad de identificación de incidentes</w:t>
            </w:r>
          </w:p>
        </w:tc>
        <w:tc>
          <w:tcPr>
            <w:tcW w:type="dxa" w:w="1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Por incidente / Trimestral</w:t>
            </w:r>
          </w:p>
        </w:tc>
        <w:tc>
          <w:tcPr>
            <w:tcW w:type="dxa" w:w="2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&lt; 1 hora para P1 y P2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Tiempo Medio de Recuperación (MTTR)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Efectividad del DRP; velocidad de restauración de servicios críticos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Por incidente / Trimestral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&lt; RTO definido por proceso en Fase 8</w:t>
            </w:r>
          </w:p>
        </w:tc>
      </w:tr>
      <w:tr>
        <w:tc>
          <w:tcPr>
            <w:tcW w:type="dxa" w:w="2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de cumplimiento de políticas</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Porcentaje de controles operando conforme a las políticas del SGSI</w:t>
            </w:r>
          </w:p>
        </w:tc>
        <w:tc>
          <w:tcPr>
            <w:tcW w:type="dxa" w:w="1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Trimestral (auditoría)</w:t>
            </w:r>
          </w:p>
        </w:tc>
        <w:tc>
          <w:tcPr>
            <w:tcW w:type="dxa" w:w="2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90% de controles en cumplimiento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de empleados con capacitación al día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Cobertura del programa de capacitación y concientización (Fase 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Trimestral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95% de la plantilla</w:t>
            </w:r>
          </w:p>
        </w:tc>
      </w:tr>
      <w:tr>
        <w:tc>
          <w:tcPr>
            <w:tcW w:type="dxa" w:w="2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Vulnerabilidades críticas sin parche</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Número de CVEs críticos en sistemas de NovaTech sin aplicar corrección</w:t>
            </w:r>
          </w:p>
        </w:tc>
        <w:tc>
          <w:tcPr>
            <w:tcW w:type="dxa" w:w="1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Mensual</w:t>
            </w:r>
          </w:p>
        </w:tc>
        <w:tc>
          <w:tcPr>
            <w:tcW w:type="dxa" w:w="2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0 vulnerabilidades críticas sin tratar en &gt; 30 días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de backups verificados exitosamente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Confiabilidad real del proceso de respaldo para garantizar el RPO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Mensual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100% de backups críticos verificados mensualmente</w:t>
            </w:r>
          </w:p>
        </w:tc>
      </w:tr>
      <w:tr>
        <w:tc>
          <w:tcPr>
            <w:tcW w:type="dxa" w:w="2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Resultados de escaneos de phishing simulado</w:t>
            </w:r>
          </w:p>
        </w:tc>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Efectividad del programa de concientización anti-phishing (Fase 10)</w:t>
            </w:r>
          </w:p>
        </w:tc>
        <w:tc>
          <w:tcPr>
            <w:tcW w:type="dxa" w:w="1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Semestral</w:t>
            </w:r>
          </w:p>
        </w:tc>
        <w:tc>
          <w:tcPr>
            <w:tcW w:type="dxa" w:w="2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Tasa de clics &lt; 5% tras 12 meses del programa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Solicitudes ARCO atendidas en plazo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de plazos legales para derechos de titulares (LFPDPPP)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Mensual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100% atendidas dentro del plazo legal de 20 días</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11.3 Programa Anual de Auditorías Internas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9.2.2 (Programa de auditoría interna) </w:t>
            </w:r>
            <w:r>
              <w:rPr>
                <w:rFonts w:ascii="Palatino Linotype" w:cs="Palatino Linotype" w:eastAsia="Palatino Linotype" w:hAnsi="Palatino Linotype"/>
                <w:i/>
                <w:iCs/>
                <w:color w:val="2C2C2C"/>
                <w:sz w:val="18"/>
                <w:szCs w:val="18"/>
              </w:rPr>
              <w:t xml:space="preserve">Se recomienda que la organización establecer, implementar y mantener un programa de auditoría que incluya la frecuencia, los métodos, las responsabilidades, los requisitos de planificación y los informes.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Dominio Auditado</w:t>
            </w:r>
          </w:p>
        </w:tc>
        <w:tc>
          <w:tcPr>
            <w:tcW w:type="dxa" w:w="2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Frecuencia</w:t>
            </w:r>
          </w:p>
        </w:tc>
        <w:tc>
          <w:tcPr>
            <w:tcW w:type="dxa" w:w="2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Auditor</w:t>
            </w:r>
          </w:p>
        </w:tc>
        <w:tc>
          <w:tcPr>
            <w:tcW w:type="dxa" w:w="21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Evidencia Requerida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de accesos y privilegios (RBAC)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Trimestral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Externo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de accesos activos vs. matriz RBAC autorizada</w:t>
            </w:r>
          </w:p>
        </w:tc>
      </w:tr>
      <w:tr>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de políticas de seguridad</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Semestral</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Auditor interno independiente</w:t>
            </w:r>
          </w:p>
        </w:tc>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Checklist de políticas con evidencia de cumplimiento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de activos e inventario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Propietarios de activos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Inventario actualizado vs. activos en operación</w:t>
            </w:r>
          </w:p>
        </w:tc>
      </w:tr>
      <w:tr>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Controles técnicos (SIEM, MFA, cifrado)</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Semestral</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 TI / Externo</w:t>
            </w:r>
          </w:p>
        </w:tc>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técnico de configuración y logs de funcionamiento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Cumplimiento LFPDPPP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Asesor legal / CISO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Registros ARCO, avisos de privacidad vigentes, contratos con proveedores</w:t>
            </w:r>
          </w:p>
        </w:tc>
      </w:tr>
      <w:tr>
        <w:tc>
          <w:tcPr>
            <w:tcW w:type="dxa" w:w="3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Prueba de backups y DRP</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Trimestral (backups) / Anual (DRP)</w:t>
            </w:r>
          </w:p>
        </w:tc>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Equipo TI / CISO</w:t>
            </w:r>
          </w:p>
        </w:tc>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de restauración exitosa con tiempo medido vs. RTO/RPO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Gestión de incidentes y CSIRT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Auditor externo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Registro de incidentes del período; análisis post-mortem documentados</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11.4 Revisión por la Dirección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9.3 (Revisión por la dirección) </w:t>
            </w:r>
            <w:r>
              <w:rPr>
                <w:rFonts w:ascii="Palatino Linotype" w:cs="Palatino Linotype" w:eastAsia="Palatino Linotype" w:hAnsi="Palatino Linotype"/>
                <w:i/>
                <w:iCs/>
                <w:color w:val="2C2C2C"/>
                <w:sz w:val="18"/>
                <w:szCs w:val="18"/>
              </w:rPr>
              <w:t xml:space="preserve">La alta dirección debe revisar el SGSI de la organización a intervalos planificados para asegurarse de su conveniencia, adecuación y eficacia continuas.</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Comité de Seguridad de NovaTech debe realizar una revisión formal del SGSI al menos dos veces al año —con una revisión anual integral y una revisión semestral de seguimiento— considerando: los resultados de las auditorías internas, el estado de las acciones correctivas pendientes, los cambios en el contexto organizacional y tecnológico, los resultados de los KPIs del período, las oportunidades de mejora identificadas y el cumplimiento del programa de capacitación. Las decisiones y acuerdos de la revisión deben documentarse en acta formal firmada por todos los miembros del Comité.</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9.1, 9.2, 9.3 — ISO/IEC 27002:2022 · Controles 5.35, 5.36 — LFPDPPP (México) · Obligaciones de Seguridad y Auditoría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11 · Auditoría y Métricas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2026-05-03T08:21:01.988Z</dcterms:created>
  <dcterms:modified xsi:type="dcterms:W3CDTF">2026-05-03T08:21:01.988Z</dcterms:modified>
</cp:coreProperties>
</file>

<file path=docProps/custom.xml><?xml version="1.0" encoding="utf-8"?>
<Properties xmlns="http://schemas.openxmlformats.org/officeDocument/2006/custom-properties" xmlns:vt="http://schemas.openxmlformats.org/officeDocument/2006/docPropsVTypes"/>
</file>