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Palatino Linotype" w:cs="Palatino Linotype" w:eastAsia="Palatino Linotype" w:hAnsi="Palatino Linotype"/>
          <w:color w:val="2C2C2C"/>
          <w:sz w:val="21"/>
          <w:szCs w:val="21"/>
        </w:rPr>
        <w:t xml:space="preserve">SISTEMA DE GESTIÓN DE SEGURIDAD DE LA INFORMACIÓN</w:t>
      </w:r>
    </w:p>
    <w:p>
      <w:pPr>
        <w:pBdr>
          <w:bottom w:val="single" w:color="1B3A2D" w:sz="16" w:space="6"/>
        </w:pBdr>
        <w:spacing w:after="60"/>
      </w:pPr>
      <w:r>
        <w:rPr>
          <w:rFonts w:ascii="Georgia" w:cs="Georgia" w:eastAsia="Georgia" w:hAnsi="Georgia"/>
          <w:b/>
          <w:bCs/>
          <w:color w:val="1B3A2D"/>
          <w:sz w:val="32"/>
          <w:szCs w:val="32"/>
        </w:rPr>
        <w:t xml:space="preserve">FASE 12 — MEJORA CONTINUA DEL SGSI — CICLO PDCA</w:t>
      </w:r>
    </w:p>
    <w:p>
      <w:pPr>
        <w:spacing w:after="60" w:before="80"/>
      </w:pPr>
      <w:r>
        <w:rPr>
          <w:rFonts w:ascii="Georgia" w:cs="Georgia" w:eastAsia="Georgia" w:hAnsi="Georgia"/>
          <w:i/>
          <w:iCs/>
          <w:color w:val="C17F24"/>
          <w:sz w:val="19"/>
          <w:szCs w:val="19"/>
        </w:rPr>
        <w:t xml:space="preserve">NovaTech Solutions · Monterrey, México · 2025</w:t>
      </w:r>
    </w:p>
    <w:p>
      <w:pPr>
        <w:spacing w:after="200" w:before="0"/>
      </w:pPr>
      <w:r>
        <w:rPr>
          <w:rFonts w:ascii="Palatino Linotype" w:cs="Palatino Linotype" w:eastAsia="Palatino Linotype" w:hAnsi="Palatino Linotype"/>
          <w:i/>
          <w:iCs/>
          <w:color w:val="999999"/>
          <w:sz w:val="17"/>
          <w:szCs w:val="17"/>
        </w:rPr>
        <w:t xml:space="preserve">Propuesta técnica elaborada por el equipo consultor de seguridad — Sujeta a revisión y aprobación ejecutiva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17F24" w:val="clear"/>
            <w:tcMar>
              <w:top w:type="dxa" w:w="0"/>
              <w:left w:type="dxa" w:w="0"/>
              <w:bottom w:type="dxa" w:w="0"/>
              <w:right w:type="dxa" w:w="0"/>
            </w:tcMar>
          </w:tcPr>
          <w:p/>
        </w:tc>
        <w:tc>
          <w:tcPr>
            <w:tcW w:type="dxa" w:w="9160"/>
            <w:tcBorders>
              <w:top w:val="none" w:color="FFFFFF" w:sz="0"/>
              <w:left w:val="none" w:color="FFFFFF" w:sz="0"/>
              <w:bottom w:val="none" w:color="FFFFFF" w:sz="0"/>
              <w:right w:val="none" w:color="FFFFFF" w:sz="0"/>
            </w:tcBorders>
            <w:shd w:fill="FFF8EC" w:val="clear"/>
            <w:tcMar>
              <w:top w:type="dxa" w:w="100"/>
              <w:left w:type="dxa" w:w="160"/>
              <w:bottom w:type="dxa" w:w="100"/>
              <w:right w:type="dxa" w:w="160"/>
            </w:tcMar>
          </w:tcPr>
          <w:p>
            <w:r>
              <w:rPr>
                <w:rFonts w:ascii="Courier New" w:cs="Courier New" w:eastAsia="Courier New" w:hAnsi="Courier New"/>
                <w:b/>
                <w:bCs/>
                <w:color w:val="8B5E1A"/>
                <w:sz w:val="17"/>
                <w:szCs w:val="17"/>
              </w:rPr>
              <w:t xml:space="preserve">⚠ PROPUESTA SUJETA A APROBACIÓN EJECUTIVA  </w:t>
            </w:r>
            <w:r>
              <w:rPr>
                <w:rFonts w:ascii="Palatino Linotype" w:cs="Palatino Linotype" w:eastAsia="Palatino Linotype" w:hAnsi="Palatino Linotype"/>
                <w:i/>
                <w:iCs/>
                <w:color w:val="5A3E0A"/>
                <w:sz w:val="17"/>
                <w:szCs w:val="17"/>
              </w:rPr>
              <w:t xml:space="preserve">El contenido de esta fase constituye una recomendación técnica elaborada por el equipo consultor de seguridad. Los análisis, estructuras, roles, controles y documentos aquí propuestos están sujetos a revisión, ajuste y aprobación formal por parte de la Dirección General y el Comité de Seguridad de NovaTech Solutions antes de cualquier implementación.</w:t>
            </w:r>
          </w:p>
        </w:tc>
      </w:tr>
    </w:tbl>
    <w:p>
      <w:pPr>
        <w:spacing w:after="40" w:before="40"/>
      </w:pP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12.1 El Principio de Mejora Continua en ISO 27001:2022</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10 (Mejora) </w:t>
            </w:r>
            <w:r>
              <w:rPr>
                <w:rFonts w:ascii="Palatino Linotype" w:cs="Palatino Linotype" w:eastAsia="Palatino Linotype" w:hAnsi="Palatino Linotype"/>
                <w:i/>
                <w:iCs/>
                <w:color w:val="2C2C2C"/>
                <w:sz w:val="18"/>
                <w:szCs w:val="18"/>
              </w:rPr>
              <w:t xml:space="preserve">Se recomienda que la organización mejorar continuamente la conveniencia, adecuación y eficacia del SGSI. Debe determinar y seleccionar oportunidades de mejora e implementar cualquier acción necesaria para lograr los resultados previstos de su SGSI.</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 Sistema de Gestión de Seguridad de la Información no es un proyecto que se completa y se archiva: es un sistema vivo que debe adaptarse continuamente al entorno de amenazas, a los cambios organizacionales, a las lecciones aprendidas de los incidentes y a la evolución del marco normativo. Esta capacidad de adaptación sistemática es precisamente lo que distingue a un SGSI formal de los controles aislados que NovaTech tenía antes de este proyecto.</w:t>
      </w:r>
    </w:p>
    <w:p>
      <w:pPr>
        <w:spacing w:after="100" w:before="80"/>
        <w:jc w:val="both"/>
      </w:pPr>
      <w:r>
        <w:rPr>
          <w:rFonts w:ascii="Palatino Linotype" w:cs="Palatino Linotype" w:eastAsia="Palatino Linotype" w:hAnsi="Palatino Linotype"/>
          <w:color w:val="2C2C2C"/>
          <w:sz w:val="21"/>
          <w:szCs w:val="21"/>
        </w:rPr>
        <w:t xml:space="preserve">La mejora continua en el presente SGSI propuesto se estructura mediante el ciclo PDCA (Plan-Do-Check-Act), metodología consagrada por ISO como el motor de funcionamiento de todos sus sistemas de gestión. Cada ciclo PDCA completo —con una cadencia anual para el ciclo principal y ciclos menores trimestrales— refina y fortalece el SGSI de forma incremental y documentada.</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12.2 Ciclo PDCA Aplicado al SGSI de NovaTech</w:t>
      </w:r>
    </w:p>
    <w:p>
      <w:pPr>
        <w:spacing w:after="40" w:before="40"/>
      </w:pPr>
    </w:p>
    <w:p>
      <w:pPr>
        <w:spacing w:after="120" w:before="280"/>
      </w:pPr>
      <w:r>
        <w:rPr>
          <w:rFonts w:ascii="Georgia" w:cs="Georgia" w:eastAsia="Georgia" w:hAnsi="Georgia"/>
          <w:b/>
          <w:bCs/>
          <w:color w:val="C17F24"/>
          <w:sz w:val="24"/>
          <w:szCs w:val="24"/>
        </w:rPr>
        <w:t xml:space="preserve">▸ P — Plan (Planificar)</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Cláusulas 4, 5, 6 (Contexto, Liderazgo, Planificación) </w:t>
            </w:r>
            <w:r>
              <w:rPr>
                <w:rFonts w:ascii="Palatino Linotype" w:cs="Palatino Linotype" w:eastAsia="Palatino Linotype" w:hAnsi="Palatino Linotype"/>
                <w:i/>
                <w:iCs/>
                <w:color w:val="2C2C2C"/>
                <w:sz w:val="18"/>
                <w:szCs w:val="18"/>
              </w:rPr>
              <w:t xml:space="preserve">Se recomienda que la organización establecer el contexto, definir el alcance, identificar y evaluar riesgos, determinar los objetivos de seguridad y planificar las acciones necesarias para abordar los riesgos y oportunidades.</w:t>
            </w:r>
          </w:p>
        </w:tc>
      </w:tr>
    </w:tbl>
    <w:p>
      <w:pPr>
        <w:spacing w:after="100" w:before="80"/>
        <w:jc w:val="both"/>
      </w:pPr>
      <w:r>
        <w:rPr>
          <w:rFonts w:ascii="Palatino Linotype" w:cs="Palatino Linotype" w:eastAsia="Palatino Linotype" w:hAnsi="Palatino Linotype"/>
          <w:color w:val="2C2C2C"/>
          <w:sz w:val="21"/>
          <w:szCs w:val="21"/>
        </w:rPr>
        <w:t xml:space="preserve">La etapa de Planificación es el punto de partida de cada ciclo. En NovaTech, esta etapa incluye: actualización del análisis de contexto organizacional (cambios en la estructura, nuevos productos SaaS, nuevos proveedores), revisión y actualización de la evaluación de riesgos con OCTAVE Allegro incorporando nuevas amenazas identificadas en el período anterior, establecimiento de los objetivos de seguridad para el nuevo ciclo, revisión y actualización del inventario de activos de información (Fase 3), y planificación del programa de capacitación, auditorías y pruebas del DRP para el período.</w:t>
      </w:r>
    </w:p>
    <w:p>
      <w:pPr>
        <w:spacing w:after="100" w:before="80"/>
        <w:jc w:val="both"/>
      </w:pPr>
      <w:r>
        <w:rPr>
          <w:rFonts w:ascii="Palatino Linotype" w:cs="Palatino Linotype" w:eastAsia="Palatino Linotype" w:hAnsi="Palatino Linotype"/>
          <w:color w:val="2C2C2C"/>
          <w:sz w:val="21"/>
          <w:szCs w:val="21"/>
        </w:rPr>
        <w:t xml:space="preserve">La planificación no puede realizarse en el vacío: debe basarse en los resultados medidos durante la etapa Check del ciclo anterior, las recomendaciones de las auditorías internas, las lecciones aprendidas de los incidentes y los cambios en el panorama de amenazas del sector de desarrollo de software.</w:t>
      </w:r>
    </w:p>
    <w:p>
      <w:pPr>
        <w:spacing w:after="120" w:before="280"/>
      </w:pPr>
      <w:r>
        <w:rPr>
          <w:rFonts w:ascii="Georgia" w:cs="Georgia" w:eastAsia="Georgia" w:hAnsi="Georgia"/>
          <w:b/>
          <w:bCs/>
          <w:color w:val="C17F24"/>
          <w:sz w:val="24"/>
          <w:szCs w:val="24"/>
        </w:rPr>
        <w:t xml:space="preserve">▸ D — Do (Hacer)</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8 (Operación) </w:t>
            </w:r>
            <w:r>
              <w:rPr>
                <w:rFonts w:ascii="Palatino Linotype" w:cs="Palatino Linotype" w:eastAsia="Palatino Linotype" w:hAnsi="Palatino Linotype"/>
                <w:i/>
                <w:iCs/>
                <w:color w:val="2C2C2C"/>
                <w:sz w:val="18"/>
                <w:szCs w:val="18"/>
              </w:rPr>
              <w:t xml:space="preserve">Se recomienda que la organización planificar, implementar, controlar, mantener y mejorar los procesos necesarios para cumplir con los requisitos de seguridad de la información, y asegurarse de que los procesos se llevan a cabo de acuerdo con lo planificado.</w:t>
            </w:r>
          </w:p>
        </w:tc>
      </w:tr>
    </w:tbl>
    <w:p>
      <w:pPr>
        <w:spacing w:after="100" w:before="80"/>
        <w:jc w:val="both"/>
      </w:pPr>
      <w:r>
        <w:rPr>
          <w:rFonts w:ascii="Palatino Linotype" w:cs="Palatino Linotype" w:eastAsia="Palatino Linotype" w:hAnsi="Palatino Linotype"/>
          <w:color w:val="2C2C2C"/>
          <w:sz w:val="21"/>
          <w:szCs w:val="21"/>
        </w:rPr>
        <w:t xml:space="preserve">La etapa de Implementación corresponde a la ejecución operativa de todas las actividades planificadas. En el contexto del presente SGSI propuesto, esto comprende: implementación de los controles de seguridad seleccionados (MFA, RBAC, SIEM, backups), ejecución del programa de capacitación y concientización (Fase 10), operación de los procedimientos de gestión de incidentes (Fase 9), mantenimiento y actualización de la documentación del SGSI, ejecución de las pruebas de recuperación ante desastres (Fase 8) y gestión continua de solicitudes ARCO conforme a la LFPDPPP (Fase 7).</w:t>
      </w:r>
    </w:p>
    <w:p>
      <w:pPr>
        <w:spacing w:after="100" w:before="80"/>
        <w:jc w:val="both"/>
      </w:pPr>
      <w:r>
        <w:rPr>
          <w:rFonts w:ascii="Palatino Linotype" w:cs="Palatino Linotype" w:eastAsia="Palatino Linotype" w:hAnsi="Palatino Linotype"/>
          <w:color w:val="2C2C2C"/>
          <w:sz w:val="21"/>
          <w:szCs w:val="21"/>
        </w:rPr>
        <w:t xml:space="preserve">Esta etapa es donde el SGSI se manifiesta en la operación diaria de la organización. La documentación de evidencias durante esta etapa es fundamental para la siguiente etapa del ciclo.</w:t>
      </w:r>
    </w:p>
    <w:p>
      <w:pPr>
        <w:spacing w:after="120" w:before="280"/>
      </w:pPr>
      <w:r>
        <w:rPr>
          <w:rFonts w:ascii="Georgia" w:cs="Georgia" w:eastAsia="Georgia" w:hAnsi="Georgia"/>
          <w:b/>
          <w:bCs/>
          <w:color w:val="C17F24"/>
          <w:sz w:val="24"/>
          <w:szCs w:val="24"/>
        </w:rPr>
        <w:t xml:space="preserve">▸ C — Check (Verificar)</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9 (Evaluación del desempeño) </w:t>
            </w:r>
            <w:r>
              <w:rPr>
                <w:rFonts w:ascii="Palatino Linotype" w:cs="Palatino Linotype" w:eastAsia="Palatino Linotype" w:hAnsi="Palatino Linotype"/>
                <w:i/>
                <w:iCs/>
                <w:color w:val="2C2C2C"/>
                <w:sz w:val="18"/>
                <w:szCs w:val="18"/>
              </w:rPr>
              <w:t xml:space="preserve">Se recomienda que la organización realizar el seguimiento, la medición, el análisis y la evaluación de la seguridad de la información para asegurarse de que el SGSI logra los resultados esperados.</w:t>
            </w:r>
          </w:p>
        </w:tc>
      </w:tr>
    </w:tbl>
    <w:p>
      <w:pPr>
        <w:spacing w:after="100" w:before="80"/>
        <w:jc w:val="both"/>
      </w:pPr>
      <w:r>
        <w:rPr>
          <w:rFonts w:ascii="Palatino Linotype" w:cs="Palatino Linotype" w:eastAsia="Palatino Linotype" w:hAnsi="Palatino Linotype"/>
          <w:color w:val="2C2C2C"/>
          <w:sz w:val="21"/>
          <w:szCs w:val="21"/>
        </w:rPr>
        <w:t xml:space="preserve">La etapa de Verificación es la que da sentido a todas las métricas y auditorías definidas en la Fase 11. Durante esta etapa, NovaTech analiza los resultados de los KPIs del período (MTTD, MTTR, % de cumplimiento de políticas, cobertura de capacitación), los hallazgos de las auditorías internas y la revisión por la dirección (Cláusula 9.3), los resultados de las pruebas de DRP y backups, los informes de incidentes del período y sus análisis post-mortem, y el grado de avance de las acciones correctivas del ciclo anterior.</w:t>
      </w:r>
    </w:p>
    <w:p>
      <w:pPr>
        <w:spacing w:after="100" w:before="80"/>
        <w:jc w:val="both"/>
      </w:pPr>
      <w:r>
        <w:rPr>
          <w:rFonts w:ascii="Palatino Linotype" w:cs="Palatino Linotype" w:eastAsia="Palatino Linotype" w:hAnsi="Palatino Linotype"/>
          <w:color w:val="2C2C2C"/>
          <w:sz w:val="21"/>
          <w:szCs w:val="21"/>
        </w:rPr>
        <w:t xml:space="preserve">El objetivo de la etapa Check no es solo medir, sino interpretar: entender si las acciones implementadas en la etapa Do están produciendo los resultados esperados, identificar desviaciones y determinar sus causas raíz para poder actuar en la siguiente etapa.</w:t>
      </w:r>
    </w:p>
    <w:p>
      <w:pPr>
        <w:spacing w:after="120" w:before="280"/>
      </w:pPr>
      <w:r>
        <w:rPr>
          <w:rFonts w:ascii="Georgia" w:cs="Georgia" w:eastAsia="Georgia" w:hAnsi="Georgia"/>
          <w:b/>
          <w:bCs/>
          <w:color w:val="C17F24"/>
          <w:sz w:val="24"/>
          <w:szCs w:val="24"/>
        </w:rPr>
        <w:t xml:space="preserve">▸ A — Act (Actuar)</w:t>
      </w: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10.2 (Mejora continua) </w:t>
            </w:r>
            <w:r>
              <w:rPr>
                <w:rFonts w:ascii="Palatino Linotype" w:cs="Palatino Linotype" w:eastAsia="Palatino Linotype" w:hAnsi="Palatino Linotype"/>
                <w:i/>
                <w:iCs/>
                <w:color w:val="2C2C2C"/>
                <w:sz w:val="18"/>
                <w:szCs w:val="18"/>
              </w:rPr>
              <w:t xml:space="preserve">Se recomienda que la organización mejorar continuamente la conveniencia, adecuación y eficacia del SGSI.</w:t>
            </w:r>
          </w:p>
        </w:tc>
      </w:tr>
    </w:tbl>
    <w:p>
      <w:pPr>
        <w:spacing w:after="100" w:before="80"/>
        <w:jc w:val="both"/>
      </w:pPr>
      <w:r>
        <w:rPr>
          <w:rFonts w:ascii="Palatino Linotype" w:cs="Palatino Linotype" w:eastAsia="Palatino Linotype" w:hAnsi="Palatino Linotype"/>
          <w:color w:val="2C2C2C"/>
          <w:sz w:val="21"/>
          <w:szCs w:val="21"/>
        </w:rPr>
        <w:t xml:space="preserve">La etapa de Acción es donde los hallazgos de la verificación se convierten en decisiones documentadas de mejora. En NovaTech, esta etapa incluye: apertura formal de acciones correctivas para cada no conformidad identificada en las auditorías, actualización de políticas, procedimientos o controles que hayan demostrado ser ineficaces, incorporación de lecciones aprendidas de los incidentes al SGSI, ajuste de las prioridades de riesgo basado en los cambios del entorno y aprobación formal del nuevo ciclo de planificación por parte del Comité de Seguridad.</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12.3 Gestión de No Conformidades y Acciones Correctivas</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10.1 (No conformidad y acción correctiva) </w:t>
            </w:r>
            <w:r>
              <w:rPr>
                <w:rFonts w:ascii="Palatino Linotype" w:cs="Palatino Linotype" w:eastAsia="Palatino Linotype" w:hAnsi="Palatino Linotype"/>
                <w:i/>
                <w:iCs/>
                <w:color w:val="2C2C2C"/>
                <w:sz w:val="18"/>
                <w:szCs w:val="18"/>
              </w:rPr>
              <w:t xml:space="preserve">Cuando ocurra una no conformidad, se recomienda que la organización reaccionar ante ella, evaluar la necesidad de acciones correctivas, implementarlas y revisar su eficacia.</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Una no conformidad es cualquier incumplimiento de los requisitos del SGSI: ya sea un requisito de ISO 27001:2022, una política interna de NovaTech o un control definido en la Fase 6. Las no conformidades se identifican principalmente a través de las auditorías internas, los incidentes de seguridad y los resultados de los KPIs que caen por debajo de los umbrales establecidos.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200"/>
        <w:gridCol w:w="2400"/>
      </w:tblGrid>
      <w:tr>
        <w:trPr>
          <w:tblHeader/>
        </w:trPr>
        <w:tc>
          <w:tcPr>
            <w:tcW w:type="dxa" w:w="20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Tipo de No Conformidad</w:t>
            </w:r>
          </w:p>
        </w:tc>
        <w:tc>
          <w:tcPr>
            <w:tcW w:type="dxa" w:w="276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Proceso de Tratamiento</w:t>
            </w:r>
          </w:p>
        </w:tc>
        <w:tc>
          <w:tcPr>
            <w:tcW w:type="dxa" w:w="22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Responsable</w:t>
            </w:r>
          </w:p>
        </w:tc>
        <w:tc>
          <w:tcPr>
            <w:tcW w:type="dxa" w:w="2400"/>
            <w:tcBorders>
              <w:top w:val="single" w:color="CCCCCC" w:sz="4"/>
              <w:left w:val="single" w:color="CCCCCC" w:sz="4"/>
              <w:bottom w:val="single" w:color="CCCCCC" w:sz="4"/>
              <w:right w:val="single" w:color="CCCCCC" w:sz="4"/>
            </w:tcBorders>
            <w:shd w:fill="1B3A2D" w:val="clear"/>
            <w:tcMar>
              <w:top w:type="dxa" w:w="80"/>
              <w:left w:type="dxa" w:w="120"/>
              <w:bottom w:type="dxa" w:w="80"/>
              <w:right w:type="dxa" w:w="120"/>
            </w:tcMar>
            <w:vAlign w:val="center"/>
          </w:tcPr>
          <w:p>
            <w:pPr>
              <w:jc w:val="center"/>
            </w:pPr>
            <w:r>
              <w:rPr>
                <w:rFonts w:ascii="Georgia" w:cs="Georgia" w:eastAsia="Georgia" w:hAnsi="Georgia"/>
                <w:b/>
                <w:bCs/>
                <w:color w:val="FFFFFF"/>
                <w:sz w:val="18"/>
                <w:szCs w:val="18"/>
              </w:rPr>
              <w:t xml:space="preserve">Plazo Máximo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Mayor (impacta la efectividad del SGSI)</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Análisis de causa raíz + acción correctiva formal + verificación de eficacia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Comité de Seguridad</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30 días para plan; 90 días para cierre</w:t>
            </w:r>
          </w:p>
        </w:tc>
      </w:tr>
      <w:tr>
        <w:tc>
          <w:tcPr>
            <w:tcW w:type="dxa" w:w="20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Menor (desviación parcial de requisitos)</w:t>
            </w:r>
          </w:p>
        </w:tc>
        <w:tc>
          <w:tcPr>
            <w:tcW w:type="dxa" w:w="276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Acción correctiva documentada + seguimiento en próxima auditoría</w:t>
            </w:r>
          </w:p>
        </w:tc>
        <w:tc>
          <w:tcPr>
            <w:tcW w:type="dxa" w:w="22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 + Responsable del área</w:t>
            </w:r>
          </w:p>
        </w:tc>
        <w:tc>
          <w:tcPr>
            <w:tcW w:type="dxa" w:w="24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60 días para implementación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Observación (oportunidad de mejora)</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Registro en el plan de mejora continua; evaluación en próximo ciclo PDCA</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CISO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Palatino Linotype" w:cs="Palatino Linotype" w:eastAsia="Palatino Linotype" w:hAnsi="Palatino Linotype"/>
                <w:color w:val="2C2C2C"/>
                <w:sz w:val="18"/>
                <w:szCs w:val="18"/>
              </w:rPr>
              <w:t xml:space="preserve">Próximo ciclo de planificación</w:t>
            </w:r>
          </w:p>
        </w:tc>
      </w:tr>
    </w:tbl>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12.4 Gestión del Cambio y Adaptación del SGSI</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C17F24" w:val="clear"/>
            <w:tcMar>
              <w:top w:type="dxa" w:w="0"/>
              <w:left w:type="dxa" w:w="0"/>
              <w:bottom w:type="dxa" w:w="0"/>
              <w:right w:type="dxa" w:w="0"/>
            </w:tcMar>
            <w:vAlign w:val="top"/>
          </w:tcPr>
          <w:p/>
        </w:tc>
        <w:tc>
          <w:tcPr>
            <w:tcW w:type="dxa" w:w="9160"/>
            <w:tcBorders>
              <w:top w:val="nil" w:color="FFFFFF" w:sz="0"/>
              <w:left w:val="nil" w:color="FFFFFF" w:sz="0"/>
              <w:bottom w:val="nil" w:color="FFFFFF" w:sz="0"/>
              <w:right w:val="nil" w:color="FFFFFF" w:sz="0"/>
            </w:tcBorders>
            <w:shd w:fill="FDF3E0" w:val="clear"/>
            <w:tcMar>
              <w:top w:type="dxa" w:w="80"/>
              <w:left w:type="dxa" w:w="160"/>
              <w:bottom w:type="dxa" w:w="80"/>
              <w:right w:type="dxa" w:w="160"/>
            </w:tcMar>
          </w:tcPr>
          <w:p>
            <w:r>
              <w:rPr>
                <w:rFonts w:ascii="Courier New" w:cs="Courier New" w:eastAsia="Courier New" w:hAnsi="Courier New"/>
                <w:b/>
                <w:bCs/>
                <w:color w:val="8B5E1A"/>
                <w:sz w:val="18"/>
                <w:szCs w:val="18"/>
              </w:rPr>
              <w:t xml:space="preserve">ISO 27001:2022 — Cláusula 6.3 (Planificación de los cambios) </w:t>
            </w:r>
            <w:r>
              <w:rPr>
                <w:rFonts w:ascii="Palatino Linotype" w:cs="Palatino Linotype" w:eastAsia="Palatino Linotype" w:hAnsi="Palatino Linotype"/>
                <w:i/>
                <w:iCs/>
                <w:color w:val="2C2C2C"/>
                <w:sz w:val="18"/>
                <w:szCs w:val="18"/>
              </w:rPr>
              <w:t xml:space="preserve">Cuando la organización determine la necesidad de cambios en el SGSI, estos cambios se deben llevar a cabo de manera planificada.</w:t>
            </w:r>
          </w:p>
        </w:tc>
      </w:tr>
    </w:tbl>
    <w:p>
      <w:pPr>
        <w:spacing w:after="40" w:before="40"/>
      </w:pPr>
    </w:p>
    <w:p>
      <w:pPr>
        <w:spacing w:after="100" w:before="80"/>
        <w:jc w:val="both"/>
      </w:pPr>
      <w:r>
        <w:rPr>
          <w:rFonts w:ascii="Palatino Linotype" w:cs="Palatino Linotype" w:eastAsia="Palatino Linotype" w:hAnsi="Palatino Linotype"/>
          <w:color w:val="2C2C2C"/>
          <w:sz w:val="21"/>
          <w:szCs w:val="21"/>
        </w:rPr>
        <w:t xml:space="preserve">El presente SGSI propuesto debe ser capaz de adaptarse ante cambios significativos en el contexto organizacional sin perder coherencia ni efectividad. Los siguientes eventos deben desencadenar una revisión anticipada del SGSI, sin esperar al siguiente ciclo PDCA anual: incorporación de nuevos productos o servicios SaaS al portafolio, contratación masiva de empleados o reestructuración organizacional significativa, cambios en la legislación aplicable o nuevos requerimientos del INAI, materialización de un incidente P1 o P2 que revele brechas estructurales no identificadas previamente, y adopción de nuevas tecnologías o proveedores de infraestructura en la nube.</w:t>
      </w:r>
    </w:p>
    <w:p>
      <w:pPr>
        <w:spacing w:after="100" w:before="80"/>
        <w:jc w:val="both"/>
      </w:pPr>
      <w:r>
        <w:rPr>
          <w:rFonts w:ascii="Palatino Linotype" w:cs="Palatino Linotype" w:eastAsia="Palatino Linotype" w:hAnsi="Palatino Linotype"/>
          <w:color w:val="2C2C2C"/>
          <w:sz w:val="21"/>
          <w:szCs w:val="21"/>
        </w:rPr>
        <w:t xml:space="preserve">La capacidad de adaptación del SGSI es, en última instancia, la medida de su madurez. NovaTech ha demostrado que puede crecer rápidamente; el desafío estratégico es asegurar que su sistema de gestión de seguridad crezca al mismo ritmo que el negocio, transformando la seguridad de una restricción operativa en una ventaja competitiva sostenible.</w:t>
      </w:r>
    </w:p>
    <w:p>
      <w:pPr>
        <w:pBdr>
          <w:top w:val="none" w:color="FFFFFF" w:sz="0" w:space="0"/>
          <w:left w:val="single" w:color="1B3A2D" w:sz="24" w:space="0"/>
          <w:bottom w:val="single" w:color="C17F24" w:sz="12" w:space="6"/>
          <w:right w:val="none" w:color="FFFFFF" w:sz="0" w:space="0"/>
        </w:pBdr>
        <w:spacing w:after="240" w:before="480"/>
        <w:ind w:left="200"/>
      </w:pPr>
      <w:r>
        <w:rPr>
          <w:rFonts w:ascii="Georgia" w:cs="Georgia" w:eastAsia="Georgia" w:hAnsi="Georgia"/>
          <w:b/>
          <w:bCs/>
          <w:color w:val="1B3A2D"/>
          <w:sz w:val="34"/>
          <w:szCs w:val="34"/>
        </w:rPr>
        <w:t xml:space="preserve">12.5 Hoja de Ruta hacia la Certificación ISO 27001:2022</w:t>
      </w:r>
    </w:p>
    <w:p>
      <w:pPr>
        <w:spacing w:after="40" w:before="40"/>
      </w:pPr>
    </w:p>
    <w:p>
      <w:pPr>
        <w:spacing w:after="100" w:before="80"/>
        <w:jc w:val="both"/>
      </w:pPr>
      <w:r>
        <w:rPr>
          <w:rFonts w:ascii="Palatino Linotype" w:cs="Palatino Linotype" w:eastAsia="Palatino Linotype" w:hAnsi="Palatino Linotype"/>
          <w:color w:val="2C2C2C"/>
          <w:sz w:val="21"/>
          <w:szCs w:val="21"/>
        </w:rPr>
        <w:t xml:space="preserve">La implementación del presente SGSI sienta las bases para que NovaTech Solutions pueda, en un horizonte de 18 a 24 meses desde la implementación operativa, aspirar a la certificación formal bajo ISO 27001:2022. Este proceso requiere: completar al menos un ciclo PDCA completo documentado, ejecutar una auditoría interna integral con los hallazgos formalmente tratados, y superar una auditoría de certificación en dos etapas (revisión documental y auditoría in situ) realizada por un organismo de certificación acreditado.</w:t>
      </w:r>
    </w:p>
    <w:p>
      <w:pPr>
        <w:spacing w:after="100" w:before="80"/>
        <w:jc w:val="both"/>
      </w:pPr>
      <w:r>
        <w:rPr>
          <w:rFonts w:ascii="Palatino Linotype" w:cs="Palatino Linotype" w:eastAsia="Palatino Linotype" w:hAnsi="Palatino Linotype"/>
          <w:color w:val="2C2C2C"/>
          <w:sz w:val="21"/>
          <w:szCs w:val="21"/>
        </w:rPr>
        <w:t xml:space="preserve">La certificación no es el objetivo final del SGSI: es una consecuencia natural de operar un sistema de gestión maduro y efectivo. El objetivo real es que NovaTech Solutions sea una organización en la que clientes, empleados y socios puedan confiar plenamente la información que le encomiendan.</w:t>
      </w:r>
    </w:p>
    <w:p>
      <w:pPr>
        <w:spacing w:after="40" w:before="40"/>
      </w:pPr>
    </w:p>
    <w:tbl>
      <w:tblPr>
        <w:tblW w:type="dxa" w:w="9360"/>
        <w:tblBorders>
          <w:top w:val="nil" w:color="FFFFFF" w:sz="0"/>
          <w:left w:val="nil" w:color="FFFFFF" w:sz="0"/>
          <w:bottom w:val="nil" w:color="FFFFFF" w:sz="0"/>
          <w:right w:val="nil" w:color="FFFFFF" w:sz="0"/>
          <w:insideH w:val="single" w:color="auto" w:sz="4"/>
          <w:insideV w:val="single" w:color="auto" w:sz="4"/>
        </w:tblBorders>
      </w:tblPr>
      <w:tblGrid>
        <w:gridCol w:w="200"/>
        <w:gridCol w:w="9160"/>
      </w:tblGrid>
      <w:tr>
        <w:tc>
          <w:tcPr>
            <w:tcW w:type="dxa" w:w="200"/>
            <w:tcBorders>
              <w:top w:val="nil" w:color="FFFFFF" w:sz="0"/>
              <w:left w:val="nil" w:color="FFFFFF" w:sz="0"/>
              <w:bottom w:val="nil" w:color="FFFFFF" w:sz="0"/>
              <w:right w:val="nil" w:color="FFFFFF" w:sz="0"/>
            </w:tcBorders>
            <w:shd w:fill="1B3A2D" w:val="clear"/>
            <w:tcMar>
              <w:top w:type="dxa" w:w="0"/>
              <w:left w:type="dxa" w:w="0"/>
              <w:bottom w:type="dxa" w:w="0"/>
              <w:right w:type="dxa" w:w="0"/>
            </w:tcMar>
          </w:tcPr>
          <w:p/>
        </w:tc>
        <w:tc>
          <w:tcPr>
            <w:tcW w:type="dxa" w:w="9160"/>
            <w:tcBorders>
              <w:top w:val="nil" w:color="FFFFFF" w:sz="0"/>
              <w:left w:val="nil" w:color="FFFFFF" w:sz="0"/>
              <w:bottom w:val="nil" w:color="FFFFFF" w:sz="0"/>
              <w:right w:val="nil" w:color="FFFFFF" w:sz="0"/>
            </w:tcBorders>
            <w:shd w:fill="E8EDE9" w:val="clear"/>
            <w:tcMar>
              <w:top w:type="dxa" w:w="80"/>
              <w:left w:type="dxa" w:w="160"/>
              <w:bottom w:type="dxa" w:w="80"/>
              <w:right w:type="dxa" w:w="160"/>
            </w:tcMar>
          </w:tcPr>
          <w:p>
            <w:r>
              <w:rPr>
                <w:rFonts w:ascii="Courier New" w:cs="Courier New" w:eastAsia="Courier New" w:hAnsi="Courier New"/>
                <w:b/>
                <w:bCs/>
                <w:color w:val="1B3A2D"/>
                <w:sz w:val="17"/>
                <w:szCs w:val="17"/>
              </w:rPr>
              <w:t xml:space="preserve">Referencia normativa consolidada — </w:t>
            </w:r>
            <w:r>
              <w:rPr>
                <w:rFonts w:ascii="Palatino Linotype" w:cs="Palatino Linotype" w:eastAsia="Palatino Linotype" w:hAnsi="Palatino Linotype"/>
                <w:i/>
                <w:iCs/>
                <w:color w:val="2C2C2C"/>
                <w:sz w:val="17"/>
                <w:szCs w:val="17"/>
              </w:rPr>
              <w:t xml:space="preserve">ISO/IEC 27001:2022 · Cláusulas 6.3, 10.1, 10.2 — ISO/IEC 27002:2022 · Introducción (Principios) — Ciclo PDCA (Deming) — ISO 9001:2015 (Principio de mejora continua)</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2D" w:sz="6" w:space="4"/>
      </w:pBdr>
      <w:tabs>
        <w:tab w:val="right" w:pos="9360"/>
      </w:tabs>
      <w:spacing w:before="80"/>
    </w:pPr>
    <w:r>
      <w:rPr>
        <w:rFonts w:ascii="Georgia" w:cs="Georgia" w:eastAsia="Georgia" w:hAnsi="Georgia"/>
        <w:color w:val="D6CDB8"/>
        <w:sz w:val="16"/>
        <w:szCs w:val="16"/>
      </w:rPr>
      <w:t xml:space="preserve">Confidencial — Uso Interno Restringido</w:t>
    </w:r>
    <w:r>
      <w:rPr>
        <w:sz w:val="16"/>
        <w:szCs w:val="16"/>
      </w:rPr>
      <w:t xml:space="preserv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17F24" w:sz="6" w:space="4"/>
      </w:pBdr>
      <w:tabs>
        <w:tab w:val="right" w:pos="9360"/>
      </w:tabs>
      <w:spacing w:after="80"/>
    </w:pPr>
    <w:r>
      <w:rPr>
        <w:rFonts w:ascii="Georgia" w:cs="Georgia" w:eastAsia="Georgia" w:hAnsi="Georgia"/>
        <w:b/>
        <w:bCs/>
        <w:color w:val="8B5E1A"/>
        <w:sz w:val="17"/>
        <w:szCs w:val="17"/>
      </w:rPr>
      <w:t xml:space="preserve">SGSI — NovaTech Solutions</w:t>
    </w:r>
    <w:r>
      <w:rPr>
        <w:rFonts w:ascii="Georgia" w:cs="Georgia" w:eastAsia="Georgia" w:hAnsi="Georgia"/>
        <w:color w:val="D6CDB8"/>
        <w:sz w:val="17"/>
        <w:szCs w:val="17"/>
      </w:rPr>
      <w:t xml:space="preserve">	Fase 12 · Mejora Continua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40"/>
        <w:ind w:left="720" w:hanging="360"/>
      </w:pPr>
      <w:rPr>
        <w:rFonts w:ascii="Palatino Linotype" w:cs="Palatino Linotype" w:eastAsia="Palatino Linotype" w:hAnsi="Palatino Linotype"/>
        <w:color w:val="C17F24"/>
        <w:sz w:val="21"/>
        <w:szCs w:val="21"/>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2026-05-03T08:21:02.044Z</dcterms:created>
  <dcterms:modified xsi:type="dcterms:W3CDTF">2026-05-03T08:21:02.044Z</dcterms:modified>
</cp:coreProperties>
</file>

<file path=docProps/custom.xml><?xml version="1.0" encoding="utf-8"?>
<Properties xmlns="http://schemas.openxmlformats.org/officeDocument/2006/custom-properties" xmlns:vt="http://schemas.openxmlformats.org/officeDocument/2006/docPropsVTypes"/>
</file>