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F497D"/>
          <w:sz w:val="40"/>
        </w:rPr>
        <w:t>Agent Skills: A New Paradigm for AI Agents</w:t>
      </w:r>
    </w:p>
    <w:p>
      <w:r>
        <w:rPr>
          <w:rFonts w:ascii="Arial" w:hAnsi="Arial"/>
          <w:color w:val="888888"/>
          <w:sz w:val="18"/>
        </w:rPr>
        <w:t>Key Takeaways from Conference Talk  |  Presenters: Barry &amp; Mahesh  |  Anthropic</w:t>
      </w:r>
    </w:p>
    <w:p>
      <w:pPr>
        <w:pBdr>
          <w:bottom w:val="single" w:sz="6" w:space="1" w:color="CCCCCC"/>
        </w:pBdr>
      </w:pPr>
    </w:p>
    <w:p>
      <w:r>
        <w:rPr>
          <w:rFonts w:ascii="Arial" w:hAnsi="Arial"/>
          <w:b/>
          <w:color w:val="2E74B5"/>
          <w:sz w:val="26"/>
        </w:rPr>
        <w:t>Core Thesis</w:t>
      </w:r>
    </w:p>
    <w:p>
      <w:r>
        <w:rPr>
          <w:rFonts w:ascii="Arial" w:hAnsi="Arial"/>
          <w:color w:val="303030"/>
          <w:sz w:val="22"/>
        </w:rPr>
        <w:t>Today's AI agents are highly intelligent but lack domain expertise. A brilliant generalist who has to reason from first principles every time is not the same as a seasoned professional with deep, practised knowledge. Agent Skills are the mechanism for closing that gap.</w:t>
      </w:r>
    </w:p>
    <w:p>
      <w:r>
        <w:rPr>
          <w:rFonts w:ascii="Arial" w:hAnsi="Arial"/>
          <w:color w:val="303030"/>
          <w:sz w:val="22"/>
        </w:rPr>
        <w:t>The central shift: stop rebuilding agents for every use case and start building skills instead. A single general-purpose agent, equipped with the right skills and MCP servers, can operate effectively across virtually any domain.</w:t>
      </w:r>
    </w:p>
    <w:p>
      <w:pPr>
        <w:pBdr>
          <w:bottom w:val="single" w:sz="6" w:space="1" w:color="CCCCCC"/>
        </w:pBdr>
      </w:pPr>
    </w:p>
    <w:p>
      <w:r>
        <w:rPr>
          <w:rFonts w:ascii="Arial" w:hAnsi="Arial"/>
          <w:b/>
          <w:color w:val="2E74B5"/>
          <w:sz w:val="26"/>
        </w:rPr>
        <w:t>What Are Agent Skills?</w:t>
      </w:r>
    </w:p>
    <w:p>
      <w:r>
        <w:rPr>
          <w:rFonts w:ascii="Arial" w:hAnsi="Arial"/>
          <w:color w:val="303030"/>
          <w:sz w:val="22"/>
        </w:rPr>
        <w:t>Skills are organised folders of files that package composable procedural knowledge for agents. That is the entire definition. The simplicity is intentional.</w:t>
      </w:r>
    </w:p>
    <w:p>
      <w:pPr>
        <w:pStyle w:val="ListBullet"/>
      </w:pPr>
      <w:r>
        <w:rPr>
          <w:rFonts w:ascii="Arial" w:hAnsi="Arial"/>
          <w:sz w:val="22"/>
        </w:rPr>
        <w:t>A skill is a folder — compatible with Git, Google Drive, zip files, or any standard file system.</w:t>
      </w:r>
    </w:p>
    <w:p>
      <w:pPr>
        <w:pStyle w:val="ListBullet"/>
      </w:pPr>
      <w:r>
        <w:rPr>
          <w:rFonts w:ascii="Arial" w:hAnsi="Arial"/>
          <w:sz w:val="22"/>
        </w:rPr>
        <w:t>At minimum, a skill is a single SKILL.md markdown file containing instructions and a directory of the folder's contents.</w:t>
      </w:r>
    </w:p>
    <w:p>
      <w:pPr>
        <w:pStyle w:val="ListBullet"/>
      </w:pPr>
      <w:r>
        <w:rPr>
          <w:rFonts w:ascii="Arial" w:hAnsi="Arial"/>
          <w:sz w:val="22"/>
        </w:rPr>
        <w:t>Skills can also include scripts, executables, binaries, assets, and pre-built tools.</w:t>
      </w:r>
    </w:p>
    <w:p>
      <w:pPr>
        <w:pStyle w:val="ListBullet"/>
      </w:pPr>
      <w:r>
        <w:rPr>
          <w:rFonts w:ascii="Arial" w:hAnsi="Arial"/>
          <w:sz w:val="22"/>
        </w:rPr>
        <w:t>Scripts inside skills are self-documenting, modifiable, and stay off the context window until needed.</w:t>
      </w:r>
    </w:p>
    <w:p>
      <w:r>
        <w:rPr>
          <w:rFonts w:ascii="Arial" w:hAnsi="Arial"/>
          <w:b/>
          <w:color w:val="404040"/>
          <w:sz w:val="22"/>
        </w:rPr>
        <w:t>Progressive Disclosure</w:t>
      </w:r>
    </w:p>
    <w:p>
      <w:r>
        <w:rPr>
          <w:rFonts w:ascii="Arial" w:hAnsi="Arial"/>
          <w:color w:val="303030"/>
          <w:sz w:val="22"/>
        </w:rPr>
        <w:t>To protect the context window and allow hundreds of skills to coexist, skills are loaded progressively. At runtime, the agent sees only minimal metadata for each skill. When a task requires a specific skill, the agent reads the full SKILL.md and any supporting files on demand. This makes skills genuinely composable at scale.</w:t>
      </w:r>
    </w:p>
    <w:p>
      <w:pPr>
        <w:pBdr>
          <w:bottom w:val="single" w:sz="6" w:space="1" w:color="CCCCCC"/>
        </w:pBdr>
      </w:pPr>
    </w:p>
    <w:p>
      <w:r>
        <w:rPr>
          <w:rFonts w:ascii="Arial" w:hAnsi="Arial"/>
          <w:b/>
          <w:color w:val="2E74B5"/>
          <w:sz w:val="26"/>
        </w:rPr>
        <w:t>Types of Skills</w:t>
      </w:r>
    </w:p>
    <w:p>
      <w:r>
        <w:rPr>
          <w:rFonts w:ascii="Arial" w:hAnsi="Arial"/>
          <w:b/>
          <w:color w:val="404040"/>
          <w:sz w:val="22"/>
        </w:rPr>
        <w:t>1.  Foundational Skills</w:t>
      </w:r>
    </w:p>
    <w:p>
      <w:r>
        <w:rPr>
          <w:rFonts w:ascii="Arial" w:hAnsi="Arial"/>
          <w:color w:val="303030"/>
          <w:sz w:val="22"/>
        </w:rPr>
        <w:t>General or domain-specific capabilities the agent did not previously have. Examples include document creation skills (producing professional Office files), scientific research skills (EHR data analysis, bioinformatics libraries), and browser automation skills.</w:t>
      </w:r>
    </w:p>
    <w:p>
      <w:r>
        <w:rPr>
          <w:rFonts w:ascii="Arial" w:hAnsi="Arial"/>
          <w:b/>
          <w:color w:val="404040"/>
          <w:sz w:val="22"/>
        </w:rPr>
        <w:t>2.  Third-Party / Partner Skills</w:t>
      </w:r>
    </w:p>
    <w:p>
      <w:r>
        <w:rPr>
          <w:rFonts w:ascii="Arial" w:hAnsi="Arial"/>
          <w:color w:val="303030"/>
          <w:sz w:val="22"/>
        </w:rPr>
        <w:t>Skills built by ecosystem partners to make agents more effective within their own products. For example, a browser-automation partner built a skill so Claude can navigate the web more reliably; a workspace tool built skills so Claude can perform deep research across a user's entire workspace.</w:t>
      </w:r>
    </w:p>
    <w:p>
      <w:r>
        <w:rPr>
          <w:rFonts w:ascii="Arial" w:hAnsi="Arial"/>
          <w:b/>
          <w:color w:val="404040"/>
          <w:sz w:val="22"/>
        </w:rPr>
        <w:t>3.  Enterprise &amp; Team Skills</w:t>
      </w:r>
    </w:p>
    <w:p>
      <w:r>
        <w:rPr>
          <w:rFonts w:ascii="Arial" w:hAnsi="Arial"/>
          <w:color w:val="303030"/>
          <w:sz w:val="22"/>
        </w:rPr>
        <w:t>The area seeing the most traction. Large organisations are using skills to encode internal best practices, bespoke software knowledge, and team-specific workflows. Developer productivity teams serving tens of thousands of engineers are deploying skills to enforce code style standards and working practices consistently across the organisation.</w:t>
      </w:r>
    </w:p>
    <w:p>
      <w:r>
        <w:rPr>
          <w:rFonts w:ascii="Arial" w:hAnsi="Arial"/>
          <w:color w:val="303030"/>
          <w:sz w:val="22"/>
        </w:rPr>
        <w:t>Notably, non-technical staff in finance, legal, recruiting, and accounting are also building skills — early validation that the format is accessible beyond engineering.</w:t>
      </w:r>
    </w:p>
    <w:p>
      <w:pPr>
        <w:pBdr>
          <w:bottom w:val="single" w:sz="6" w:space="1" w:color="CCCCCC"/>
        </w:pBdr>
      </w:pPr>
    </w:p>
    <w:p>
      <w:r>
        <w:rPr>
          <w:rFonts w:ascii="Arial" w:hAnsi="Arial"/>
          <w:b/>
          <w:color w:val="2E74B5"/>
          <w:sz w:val="26"/>
        </w:rPr>
        <w:t>The Emerging Agent Architecture</w:t>
      </w:r>
    </w:p>
    <w:p>
      <w:r>
        <w:rPr>
          <w:rFonts w:ascii="Arial" w:hAnsi="Arial"/>
          <w:color w:val="303030"/>
          <w:sz w:val="22"/>
        </w:rPr>
        <w:t>The converging pattern for general-purpose agents has three layers working together:</w:t>
      </w:r>
    </w:p>
    <w:p>
      <w:pPr>
        <w:pStyle w:val="ListBullet"/>
      </w:pPr>
      <w:r>
        <w:rPr>
          <w:rFonts w:ascii="Arial" w:hAnsi="Arial"/>
          <w:b/>
          <w:sz w:val="22"/>
        </w:rPr>
        <w:t xml:space="preserve">Agent runtime: </w:t>
      </w:r>
      <w:r>
        <w:rPr>
          <w:rFonts w:ascii="Arial" w:hAnsi="Arial"/>
          <w:sz w:val="22"/>
        </w:rPr>
        <w:t xml:space="preserve"> An agent loop that manages the model's context — controlling which tokens enter and leave.</w:t>
      </w:r>
    </w:p>
    <w:p>
      <w:pPr>
        <w:pStyle w:val="ListBullet"/>
      </w:pPr>
      <w:r>
        <w:rPr>
          <w:rFonts w:ascii="Arial" w:hAnsi="Arial"/>
          <w:b/>
          <w:sz w:val="22"/>
        </w:rPr>
        <w:t xml:space="preserve">MCP servers: </w:t>
      </w:r>
      <w:r>
        <w:rPr>
          <w:rFonts w:ascii="Arial" w:hAnsi="Arial"/>
          <w:sz w:val="22"/>
        </w:rPr>
        <w:t xml:space="preserve"> External tools and live data that make the agent relevant to the real world.</w:t>
      </w:r>
    </w:p>
    <w:p>
      <w:pPr>
        <w:pStyle w:val="ListBullet"/>
      </w:pPr>
      <w:r>
        <w:rPr>
          <w:rFonts w:ascii="Arial" w:hAnsi="Arial"/>
          <w:b/>
          <w:sz w:val="22"/>
        </w:rPr>
        <w:t xml:space="preserve">Skills library: </w:t>
      </w:r>
      <w:r>
        <w:rPr>
          <w:rFonts w:ascii="Arial" w:hAnsi="Arial"/>
          <w:sz w:val="22"/>
        </w:rPr>
        <w:t xml:space="preserve"> A library of hundreds or thousands of skills the agent can pull into context selectively, only when a task requires them.</w:t>
      </w:r>
    </w:p>
    <w:p>
      <w:r>
        <w:rPr>
          <w:rFonts w:ascii="Arial" w:hAnsi="Arial"/>
          <w:color w:val="303030"/>
          <w:sz w:val="22"/>
        </w:rPr>
        <w:t>Giving an agent new capability in a new domain now means equipping it with the right MCP servers and the right skills — no bespoke agent scaffolding required. Anthropic used this pattern to launch Claude into financial services and life sciences within five weeks of the skills launch.</w:t>
      </w:r>
    </w:p>
    <w:p>
      <w:pPr>
        <w:pBdr>
          <w:bottom w:val="single" w:sz="6" w:space="1" w:color="CCCCCC"/>
        </w:pBdr>
      </w:pPr>
    </w:p>
    <w:p>
      <w:r>
        <w:rPr>
          <w:rFonts w:ascii="Arial" w:hAnsi="Arial"/>
          <w:b/>
          <w:color w:val="2E74B5"/>
          <w:sz w:val="26"/>
        </w:rPr>
        <w:t>Skills vs. MCP Servers</w:t>
      </w:r>
    </w:p>
    <w:tbl>
      <w:tblPr>
        <w:tblStyle w:val="TableGrid"/>
        <w:tblW w:type="auto" w:w="0"/>
        <w:tblLook w:firstColumn="1" w:firstRow="1" w:lastColumn="0" w:lastRow="0" w:noHBand="0" w:noVBand="1" w:val="04A0"/>
      </w:tblPr>
      <w:tblGrid>
        <w:gridCol w:w="4680"/>
        <w:gridCol w:w="4680"/>
      </w:tblGrid>
      <w:tr>
        <w:tc>
          <w:tcPr>
            <w:tcW w:type="dxa" w:w="4680"/>
            <w:shd w:val="clear" w:color="auto" w:fill="1F497D"/>
          </w:tcPr>
          <w:p>
            <w:r/>
            <w:r>
              <w:rPr>
                <w:rFonts w:ascii="Arial" w:hAnsi="Arial"/>
                <w:b/>
                <w:color w:val="FFFFFF"/>
                <w:sz w:val="20"/>
              </w:rPr>
              <w:t>MCP Servers</w:t>
            </w:r>
          </w:p>
        </w:tc>
        <w:tc>
          <w:tcPr>
            <w:tcW w:type="dxa" w:w="4680"/>
            <w:shd w:val="clear" w:color="auto" w:fill="1F497D"/>
          </w:tcPr>
          <w:p>
            <w:r/>
            <w:r>
              <w:rPr>
                <w:rFonts w:ascii="Arial" w:hAnsi="Arial"/>
                <w:b/>
                <w:color w:val="FFFFFF"/>
                <w:sz w:val="20"/>
              </w:rPr>
              <w:t>Skills</w:t>
            </w:r>
          </w:p>
        </w:tc>
      </w:tr>
      <w:tr>
        <w:tc>
          <w:tcPr>
            <w:tcW w:type="dxa" w:w="4680"/>
          </w:tcPr>
          <w:p>
            <w:r/>
            <w:r>
              <w:rPr>
                <w:rFonts w:ascii="Arial" w:hAnsi="Arial"/>
                <w:b w:val="0"/>
                <w:sz w:val="20"/>
              </w:rPr>
              <w:t>Connectivity to the outside world</w:t>
            </w:r>
          </w:p>
        </w:tc>
        <w:tc>
          <w:tcPr>
            <w:tcW w:type="dxa" w:w="4680"/>
          </w:tcPr>
          <w:p>
            <w:r/>
            <w:r>
              <w:rPr>
                <w:rFonts w:ascii="Arial" w:hAnsi="Arial"/>
                <w:b w:val="0"/>
                <w:sz w:val="20"/>
              </w:rPr>
              <w:t>Domain expertise and procedural knowledge</w:t>
            </w:r>
          </w:p>
        </w:tc>
      </w:tr>
      <w:tr>
        <w:tc>
          <w:tcPr>
            <w:tcW w:type="dxa" w:w="4680"/>
          </w:tcPr>
          <w:p>
            <w:r/>
            <w:r>
              <w:rPr>
                <w:rFonts w:ascii="Arial" w:hAnsi="Arial"/>
                <w:b w:val="0"/>
                <w:sz w:val="20"/>
              </w:rPr>
              <w:t>Live data and external tools</w:t>
            </w:r>
          </w:p>
        </w:tc>
        <w:tc>
          <w:tcPr>
            <w:tcW w:type="dxa" w:w="4680"/>
          </w:tcPr>
          <w:p>
            <w:r/>
            <w:r>
              <w:rPr>
                <w:rFonts w:ascii="Arial" w:hAnsi="Arial"/>
                <w:b w:val="0"/>
                <w:sz w:val="20"/>
              </w:rPr>
              <w:t>Instructions, scripts, and reusable assets</w:t>
            </w:r>
          </w:p>
        </w:tc>
      </w:tr>
      <w:tr>
        <w:tc>
          <w:tcPr>
            <w:tcW w:type="dxa" w:w="4680"/>
          </w:tcPr>
          <w:p>
            <w:r/>
            <w:r>
              <w:rPr>
                <w:rFonts w:ascii="Arial" w:hAnsi="Arial"/>
                <w:b w:val="0"/>
                <w:sz w:val="20"/>
              </w:rPr>
              <w:t>Built by API/service providers</w:t>
            </w:r>
          </w:p>
        </w:tc>
        <w:tc>
          <w:tcPr>
            <w:tcW w:type="dxa" w:w="4680"/>
          </w:tcPr>
          <w:p>
            <w:r/>
            <w:r>
              <w:rPr>
                <w:rFonts w:ascii="Arial" w:hAnsi="Arial"/>
                <w:b w:val="0"/>
                <w:sz w:val="20"/>
              </w:rPr>
              <w:t>Built by anyone — developers or non-technical staff</w:t>
            </w:r>
          </w:p>
        </w:tc>
      </w:tr>
      <w:tr>
        <w:tc>
          <w:tcPr>
            <w:tcW w:type="dxa" w:w="4680"/>
          </w:tcPr>
          <w:p>
            <w:r/>
            <w:r>
              <w:rPr>
                <w:rFonts w:ascii="Arial" w:hAnsi="Arial"/>
                <w:b w:val="0"/>
                <w:sz w:val="20"/>
              </w:rPr>
              <w:t>Standard protocol (MCP)</w:t>
            </w:r>
          </w:p>
        </w:tc>
        <w:tc>
          <w:tcPr>
            <w:tcW w:type="dxa" w:w="4680"/>
          </w:tcPr>
          <w:p>
            <w:r/>
            <w:r>
              <w:rPr>
                <w:rFonts w:ascii="Arial" w:hAnsi="Arial"/>
                <w:b w:val="0"/>
                <w:sz w:val="20"/>
              </w:rPr>
              <w:t>Standard format (organised folder + SKILL.md)</w:t>
            </w:r>
          </w:p>
        </w:tc>
      </w:tr>
    </w:tbl>
    <w:p>
      <w:pPr>
        <w:pBdr>
          <w:bottom w:val="single" w:sz="6" w:space="1" w:color="CCCCCC"/>
        </w:pBdr>
      </w:pPr>
    </w:p>
    <w:p>
      <w:r>
        <w:rPr>
          <w:rFonts w:ascii="Arial" w:hAnsi="Arial"/>
          <w:b/>
          <w:color w:val="2E74B5"/>
          <w:sz w:val="26"/>
        </w:rPr>
        <w:t>Skills as Continuous Learning</w:t>
      </w:r>
    </w:p>
    <w:p>
      <w:r>
        <w:rPr>
          <w:rFonts w:ascii="Arial" w:hAnsi="Arial"/>
          <w:color w:val="303030"/>
          <w:sz w:val="22"/>
        </w:rPr>
        <w:t>Skills are designed to be a concrete step towards agents that improve over time. Because skills use a standardised format, anything Claude writes into a skill can be read and used efficiently by a future version of itself — making learning transferable.</w:t>
      </w:r>
    </w:p>
    <w:p>
      <w:pPr>
        <w:pStyle w:val="ListBullet"/>
      </w:pPr>
      <w:r>
        <w:rPr>
          <w:rFonts w:ascii="Arial" w:hAnsi="Arial"/>
          <w:sz w:val="22"/>
        </w:rPr>
        <w:t>Claude on day 30 of working with a team should be substantially better than Claude on day one.</w:t>
      </w:r>
    </w:p>
    <w:p>
      <w:pPr>
        <w:pStyle w:val="ListBullet"/>
      </w:pPr>
      <w:r>
        <w:rPr>
          <w:rFonts w:ascii="Arial" w:hAnsi="Arial"/>
          <w:sz w:val="22"/>
        </w:rPr>
        <w:t>Skills act as persistent, curated procedural memory — not capturing everything, but capturing the specific knowledge needed for specific tasks.</w:t>
      </w:r>
    </w:p>
    <w:p>
      <w:pPr>
        <w:pStyle w:val="ListBullet"/>
      </w:pPr>
      <w:r>
        <w:rPr>
          <w:rFonts w:ascii="Arial" w:hAnsi="Arial"/>
          <w:sz w:val="22"/>
        </w:rPr>
        <w:t>Claude can acquire new skills instantly, evolve existing ones, and retire obsolete ones — keeping pace with knowledge that changes daily.</w:t>
      </w:r>
    </w:p>
    <w:p>
      <w:pPr>
        <w:pStyle w:val="ListBullet"/>
      </w:pPr>
      <w:r>
        <w:rPr>
          <w:rFonts w:ascii="Arial" w:hAnsi="Arial"/>
          <w:sz w:val="22"/>
        </w:rPr>
        <w:t>As the organisation's skill library grows, every agent and every new team member benefits from the accumulated knowledge automatically.</w:t>
      </w:r>
    </w:p>
    <w:p>
      <w:pPr>
        <w:pStyle w:val="ListBullet"/>
      </w:pPr>
      <w:r>
        <w:rPr>
          <w:rFonts w:ascii="Arial" w:hAnsi="Arial"/>
          <w:sz w:val="22"/>
        </w:rPr>
        <w:t>Skills built by the broader community extend this compounding value beyond the organisation, analogous to how public MCP servers benefit all users.</w:t>
      </w:r>
    </w:p>
    <w:p>
      <w:pPr>
        <w:pBdr>
          <w:bottom w:val="single" w:sz="6" w:space="1" w:color="CCCCCC"/>
        </w:pBdr>
      </w:pPr>
    </w:p>
    <w:p>
      <w:r>
        <w:rPr>
          <w:rFonts w:ascii="Arial" w:hAnsi="Arial"/>
          <w:b/>
          <w:color w:val="2E74B5"/>
          <w:sz w:val="26"/>
        </w:rPr>
        <w:t>Roadmap: Where Skills Are Heading</w:t>
      </w:r>
    </w:p>
    <w:p>
      <w:pPr>
        <w:pStyle w:val="ListBullet"/>
      </w:pPr>
      <w:r>
        <w:rPr>
          <w:rFonts w:ascii="Arial" w:hAnsi="Arial"/>
          <w:b/>
          <w:sz w:val="22"/>
        </w:rPr>
        <w:t xml:space="preserve">Testing &amp; evaluation: </w:t>
      </w:r>
      <w:r>
        <w:rPr>
          <w:rFonts w:ascii="Arial" w:hAnsi="Arial"/>
          <w:sz w:val="22"/>
        </w:rPr>
        <w:t xml:space="preserve"> Formal testing and evaluation pipelines to verify skills load at the right time and produce quality output.</w:t>
      </w:r>
    </w:p>
    <w:p>
      <w:pPr>
        <w:pStyle w:val="ListBullet"/>
      </w:pPr>
      <w:r>
        <w:rPr>
          <w:rFonts w:ascii="Arial" w:hAnsi="Arial"/>
          <w:b/>
          <w:sz w:val="22"/>
        </w:rPr>
        <w:t xml:space="preserve">Versioning: </w:t>
      </w:r>
      <w:r>
        <w:rPr>
          <w:rFonts w:ascii="Arial" w:hAnsi="Arial"/>
          <w:sz w:val="22"/>
        </w:rPr>
        <w:t xml:space="preserve"> Clear lineage tracking as skills evolve and agent behaviour changes.</w:t>
      </w:r>
    </w:p>
    <w:p>
      <w:pPr>
        <w:pStyle w:val="ListBullet"/>
      </w:pPr>
      <w:r>
        <w:rPr>
          <w:rFonts w:ascii="Arial" w:hAnsi="Arial"/>
          <w:b/>
          <w:sz w:val="22"/>
        </w:rPr>
        <w:t xml:space="preserve">Skill dependencies: </w:t>
      </w:r>
      <w:r>
        <w:rPr>
          <w:rFonts w:ascii="Arial" w:hAnsi="Arial"/>
          <w:sz w:val="22"/>
        </w:rPr>
        <w:t xml:space="preserve"> Skills that can explicitly declare dependencies on other skills, MCP servers, or packages, improving predictability across runtime environments.</w:t>
      </w:r>
    </w:p>
    <w:p>
      <w:pPr>
        <w:pStyle w:val="ListBullet"/>
      </w:pPr>
      <w:r>
        <w:rPr>
          <w:rFonts w:ascii="Arial" w:hAnsi="Arial"/>
          <w:b/>
          <w:sz w:val="22"/>
        </w:rPr>
        <w:t xml:space="preserve">Sharing &amp; distribution: </w:t>
      </w:r>
      <w:r>
        <w:rPr>
          <w:rFonts w:ascii="Arial" w:hAnsi="Arial"/>
          <w:sz w:val="22"/>
        </w:rPr>
        <w:t xml:space="preserve"> Better distribution and marketplace-style sharing so skills built anywhere benefit agents everywhere.</w:t>
      </w:r>
    </w:p>
    <w:p>
      <w:pPr>
        <w:pBdr>
          <w:bottom w:val="single" w:sz="6" w:space="1" w:color="CCCCCC"/>
        </w:pBdr>
      </w:pPr>
    </w:p>
    <w:p>
      <w:r>
        <w:rPr>
          <w:rFonts w:ascii="Arial" w:hAnsi="Arial"/>
          <w:b/>
          <w:color w:val="2E74B5"/>
          <w:sz w:val="26"/>
        </w:rPr>
        <w:t>The Computing Stack Analogy</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1F497D"/>
          </w:tcPr>
          <w:p>
            <w:r/>
            <w:r>
              <w:rPr>
                <w:rFonts w:ascii="Arial" w:hAnsi="Arial"/>
                <w:b/>
                <w:color w:val="FFFFFF"/>
                <w:sz w:val="20"/>
              </w:rPr>
              <w:t>Computing Layer</w:t>
            </w:r>
          </w:p>
        </w:tc>
        <w:tc>
          <w:tcPr>
            <w:tcW w:type="dxa" w:w="3600"/>
            <w:shd w:val="clear" w:color="auto" w:fill="1F497D"/>
          </w:tcPr>
          <w:p>
            <w:r/>
            <w:r>
              <w:rPr>
                <w:rFonts w:ascii="Arial" w:hAnsi="Arial"/>
                <w:b/>
                <w:color w:val="FFFFFF"/>
                <w:sz w:val="20"/>
              </w:rPr>
              <w:t>Traditional Computing</w:t>
            </w:r>
          </w:p>
        </w:tc>
        <w:tc>
          <w:tcPr>
            <w:tcW w:type="dxa" w:w="3600"/>
            <w:shd w:val="clear" w:color="auto" w:fill="1F497D"/>
          </w:tcPr>
          <w:p>
            <w:r/>
            <w:r>
              <w:rPr>
                <w:rFonts w:ascii="Arial" w:hAnsi="Arial"/>
                <w:b/>
                <w:color w:val="FFFFFF"/>
                <w:sz w:val="20"/>
              </w:rPr>
              <w:t>AI Equivalent</w:t>
            </w:r>
          </w:p>
        </w:tc>
      </w:tr>
      <w:tr>
        <w:tc>
          <w:tcPr>
            <w:tcW w:type="dxa" w:w="2160"/>
          </w:tcPr>
          <w:p>
            <w:r/>
            <w:r>
              <w:rPr>
                <w:rFonts w:ascii="Arial" w:hAnsi="Arial"/>
                <w:b/>
                <w:sz w:val="20"/>
              </w:rPr>
              <w:t>Hardware</w:t>
            </w:r>
          </w:p>
        </w:tc>
        <w:tc>
          <w:tcPr>
            <w:tcW w:type="dxa" w:w="3600"/>
          </w:tcPr>
          <w:p>
            <w:r/>
            <w:r>
              <w:rPr>
                <w:rFonts w:ascii="Arial" w:hAnsi="Arial"/>
                <w:b w:val="0"/>
                <w:sz w:val="20"/>
              </w:rPr>
              <w:t>Processor</w:t>
            </w:r>
          </w:p>
        </w:tc>
        <w:tc>
          <w:tcPr>
            <w:tcW w:type="dxa" w:w="3600"/>
          </w:tcPr>
          <w:p>
            <w:r/>
            <w:r>
              <w:rPr>
                <w:rFonts w:ascii="Arial" w:hAnsi="Arial"/>
                <w:b w:val="0"/>
                <w:sz w:val="20"/>
              </w:rPr>
              <w:t>Foundation model</w:t>
            </w:r>
          </w:p>
        </w:tc>
      </w:tr>
      <w:tr>
        <w:tc>
          <w:tcPr>
            <w:tcW w:type="dxa" w:w="2160"/>
          </w:tcPr>
          <w:p>
            <w:r/>
            <w:r>
              <w:rPr>
                <w:rFonts w:ascii="Arial" w:hAnsi="Arial"/>
                <w:b/>
                <w:sz w:val="20"/>
              </w:rPr>
              <w:t>System software</w:t>
            </w:r>
          </w:p>
        </w:tc>
        <w:tc>
          <w:tcPr>
            <w:tcW w:type="dxa" w:w="3600"/>
          </w:tcPr>
          <w:p>
            <w:r/>
            <w:r>
              <w:rPr>
                <w:rFonts w:ascii="Arial" w:hAnsi="Arial"/>
                <w:b w:val="0"/>
                <w:sz w:val="20"/>
              </w:rPr>
              <w:t>Operating system</w:t>
            </w:r>
          </w:p>
        </w:tc>
        <w:tc>
          <w:tcPr>
            <w:tcW w:type="dxa" w:w="3600"/>
          </w:tcPr>
          <w:p>
            <w:r/>
            <w:r>
              <w:rPr>
                <w:rFonts w:ascii="Arial" w:hAnsi="Arial"/>
                <w:b w:val="0"/>
                <w:sz w:val="20"/>
              </w:rPr>
              <w:t>Agent runtime</w:t>
            </w:r>
          </w:p>
        </w:tc>
      </w:tr>
      <w:tr>
        <w:tc>
          <w:tcPr>
            <w:tcW w:type="dxa" w:w="2160"/>
          </w:tcPr>
          <w:p>
            <w:r/>
            <w:r>
              <w:rPr>
                <w:rFonts w:ascii="Arial" w:hAnsi="Arial"/>
                <w:b/>
                <w:sz w:val="20"/>
              </w:rPr>
              <w:t>Applications</w:t>
            </w:r>
          </w:p>
        </w:tc>
        <w:tc>
          <w:tcPr>
            <w:tcW w:type="dxa" w:w="3600"/>
          </w:tcPr>
          <w:p>
            <w:r/>
            <w:r>
              <w:rPr>
                <w:rFonts w:ascii="Arial" w:hAnsi="Arial"/>
                <w:b w:val="0"/>
                <w:sz w:val="20"/>
              </w:rPr>
              <w:t>Software built by millions of developers</w:t>
            </w:r>
          </w:p>
        </w:tc>
        <w:tc>
          <w:tcPr>
            <w:tcW w:type="dxa" w:w="3600"/>
          </w:tcPr>
          <w:p>
            <w:r/>
            <w:r>
              <w:rPr>
                <w:rFonts w:ascii="Arial" w:hAnsi="Arial"/>
                <w:b w:val="0"/>
                <w:sz w:val="20"/>
              </w:rPr>
              <w:t>Skills — domain expertise encoded by anyone</w:t>
            </w:r>
          </w:p>
        </w:tc>
      </w:tr>
    </w:tbl>
    <w:p>
      <w:r>
        <w:rPr>
          <w:rFonts w:ascii="Arial" w:hAnsi="Arial"/>
          <w:color w:val="303030"/>
          <w:sz w:val="22"/>
        </w:rPr>
      </w:r>
    </w:p>
    <w:p>
      <w:r>
        <w:rPr>
          <w:rFonts w:ascii="Arial" w:hAnsi="Arial"/>
          <w:color w:val="303030"/>
          <w:sz w:val="22"/>
        </w:rPr>
        <w:t>Just as the real value of computing came not from processors or operating systems but from the millions of applications encoding human expertise, the real value of AI will come from skills — built by anyone, for any domain, and shared across the ecosystem.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