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20E" w:rsidRPr="00FE320E" w:rsidRDefault="00FE320E">
      <w:pPr>
        <w:rPr>
          <w:lang w:val="en-GB"/>
        </w:rPr>
      </w:pPr>
      <w:r w:rsidRPr="00FE320E">
        <w:rPr>
          <w:lang w:val="en-GB"/>
        </w:rPr>
        <w:t>Readme / Documentation</w:t>
      </w:r>
    </w:p>
    <w:p w:rsidR="00FE320E" w:rsidRPr="00FE320E" w:rsidRDefault="00FE320E">
      <w:pPr>
        <w:rPr>
          <w:sz w:val="32"/>
          <w:szCs w:val="32"/>
          <w:lang w:val="en-GB"/>
        </w:rPr>
      </w:pPr>
      <w:r w:rsidRPr="00FE320E">
        <w:rPr>
          <w:sz w:val="32"/>
          <w:szCs w:val="32"/>
          <w:lang w:val="en-GB"/>
        </w:rPr>
        <w:t xml:space="preserve">Box Model </w:t>
      </w:r>
      <w:r>
        <w:rPr>
          <w:sz w:val="32"/>
          <w:szCs w:val="32"/>
          <w:lang w:val="en-GB"/>
        </w:rPr>
        <w:t xml:space="preserve">(2D) </w:t>
      </w:r>
      <w:r w:rsidRPr="00FE320E">
        <w:rPr>
          <w:sz w:val="32"/>
          <w:szCs w:val="32"/>
          <w:lang w:val="en-GB"/>
        </w:rPr>
        <w:t xml:space="preserve">on marine Carbonyl </w:t>
      </w:r>
      <w:proofErr w:type="spellStart"/>
      <w:r w:rsidRPr="00FE320E">
        <w:rPr>
          <w:sz w:val="32"/>
          <w:szCs w:val="32"/>
          <w:lang w:val="en-GB"/>
        </w:rPr>
        <w:t>Sulfide</w:t>
      </w:r>
      <w:proofErr w:type="spellEnd"/>
      <w:r>
        <w:rPr>
          <w:sz w:val="32"/>
          <w:szCs w:val="32"/>
          <w:lang w:val="en-GB"/>
        </w:rPr>
        <w:t xml:space="preserve"> (BM2D - OCS)</w:t>
      </w:r>
    </w:p>
    <w:p w:rsidR="00FE320E" w:rsidRDefault="00FE320E">
      <w:pPr>
        <w:rPr>
          <w:lang w:val="en-GB"/>
        </w:rPr>
      </w:pPr>
      <w:r>
        <w:rPr>
          <w:lang w:val="en-GB"/>
        </w:rPr>
        <w:t xml:space="preserve">by </w:t>
      </w:r>
      <w:proofErr w:type="spellStart"/>
      <w:r>
        <w:rPr>
          <w:lang w:val="en-GB"/>
        </w:rPr>
        <w:t>Sinikka</w:t>
      </w:r>
      <w:proofErr w:type="spellEnd"/>
      <w:r>
        <w:rPr>
          <w:lang w:val="en-GB"/>
        </w:rPr>
        <w:t xml:space="preserve"> </w:t>
      </w:r>
      <w:proofErr w:type="spellStart"/>
      <w:r>
        <w:rPr>
          <w:lang w:val="en-GB"/>
        </w:rPr>
        <w:t>Lennartz</w:t>
      </w:r>
      <w:proofErr w:type="spellEnd"/>
    </w:p>
    <w:p w:rsidR="00FE320E" w:rsidRDefault="00FE320E">
      <w:pPr>
        <w:rPr>
          <w:lang w:val="en-GB"/>
        </w:rPr>
      </w:pPr>
      <w:r>
        <w:rPr>
          <w:lang w:val="en-GB"/>
        </w:rPr>
        <w:t xml:space="preserve">version: 1.0, </w:t>
      </w:r>
      <w:r w:rsidR="00CE634F">
        <w:rPr>
          <w:lang w:val="en-GB"/>
        </w:rPr>
        <w:t>November</w:t>
      </w:r>
      <w:bookmarkStart w:id="0" w:name="_GoBack"/>
      <w:bookmarkEnd w:id="0"/>
      <w:r>
        <w:rPr>
          <w:lang w:val="en-GB"/>
        </w:rPr>
        <w:t xml:space="preserve"> 2020</w:t>
      </w:r>
    </w:p>
    <w:p w:rsidR="00FE320E" w:rsidRDefault="00FE320E">
      <w:pPr>
        <w:rPr>
          <w:lang w:val="en-GB"/>
        </w:rPr>
      </w:pPr>
    </w:p>
    <w:p w:rsidR="00FE320E" w:rsidRPr="001B075E" w:rsidRDefault="00FE320E" w:rsidP="00FE320E">
      <w:pPr>
        <w:pStyle w:val="Listenabsatz"/>
        <w:numPr>
          <w:ilvl w:val="0"/>
          <w:numId w:val="1"/>
        </w:numPr>
        <w:rPr>
          <w:b/>
          <w:lang w:val="en-GB"/>
        </w:rPr>
      </w:pPr>
      <w:r w:rsidRPr="001B075E">
        <w:rPr>
          <w:b/>
          <w:lang w:val="en-GB"/>
        </w:rPr>
        <w:t>General remarks</w:t>
      </w:r>
    </w:p>
    <w:p w:rsidR="001B075E" w:rsidRDefault="001B075E" w:rsidP="001B075E">
      <w:pPr>
        <w:rPr>
          <w:lang w:val="en-GB"/>
        </w:rPr>
      </w:pPr>
      <w:r>
        <w:rPr>
          <w:lang w:val="en-GB"/>
        </w:rPr>
        <w:t xml:space="preserve">The model has been described in </w:t>
      </w:r>
      <w:r>
        <w:rPr>
          <w:lang w:val="en-GB"/>
        </w:rPr>
        <w:fldChar w:fldCharType="begin" w:fldLock="1"/>
      </w:r>
      <w:r>
        <w:rPr>
          <w:lang w:val="en-GB"/>
        </w:rPr>
        <w:instrText>ADDIN CSL_CITATION {"citationItems":[{"id":"ITEM-1","itemData":{"DOI":"10.5194/acp-17-385-2017","ISSN":"1680-7324","abstract":"&lt;p&gt;&lt;p&gt;&lt;strong&gt;Abstract.&lt;/strong&gt; The climate active trace-gas carbonyl sulfide (OCS) is the most abundant sulfur gas in the atmosphere. A missing source in its atmospheric budget is currently suggested, resulting from an upward revision of the vegetation sink. Tropical oceanic emissions have been proposed to close the resulting gap in the atmospheric budget. We present a bottom-up approach including (i) new observations of OCS in surface waters of the tropical Atlantic, Pacific and Indian oceans and (ii) a further improved global box model to show that direct OCS emissions are unlikely to account for the missing source. The box model suggests an undersaturation of the surface water with respect to OCS integrated over the entire tropical ocean area and, further, global annual direct emissions of OCS well below that suggested by top-down estimates. In addition, we discuss the potential of indirect emission from CS&lt;sub&gt;2&lt;/sub&gt; and dimethylsulfide (DMS) to account for the gap in the atmospheric budget. This bottom-up estimate of oceanic emissions has implications for using OCS as a proxy for global terrestrial CO&lt;sub&gt;2&lt;/sub&gt; uptake, which is currently impeded by the inadequate quantification of atmospheric OCS sources and sinks.&lt;/p&gt;&lt;/p&gt;","author":[{"dropping-particle":"","family":"Lennartz","given":"Sinikka T.","non-dropping-particle":"","parse-names":false,"suffix":""},{"dropping-particle":"","family":"Marandino","given":"Christa A.","non-dropping-particle":"","parse-names":false,"suffix":""},{"dropping-particle":"","family":"Hobe","given":"Marc","non-dropping-particle":"von","parse-names":false,"suffix":""},{"dropping-particle":"","family":"Cortes","given":"Pau","non-dropping-particle":"","parse-names":false,"suffix":""},{"dropping-particle":"","family":"Quack","given":"Birgit","non-dropping-particle":"","parse-names":false,"suffix":""},{"dropping-particle":"","family":"Simo","given":"Rafel","non-dropping-particle":"","parse-names":false,"suffix":""},{"dropping-particle":"","family":"Booge","given":"Dennis","non-dropping-particle":"","parse-names":false,"suffix":""},{"dropping-particle":"","family":"Pozzer","given":"Andrea","non-dropping-particle":"","parse-names":false,"suffix":""},{"dropping-particle":"","family":"Steinhoff","given":"Tobias","non-dropping-particle":"","parse-names":false,"suffix":""},{"dropping-particle":"","family":"Arevalo-Martinez","given":"Damian L.","non-dropping-particle":"","parse-names":false,"suffix":""},{"dropping-particle":"","family":"Kloss","given":"Corinna","non-dropping-particle":"","parse-names":false,"suffix":""},{"dropping-particle":"","family":"Bracher","given":"Astrid","non-dropping-particle":"","parse-names":false,"suffix":""},{"dropping-particle":"","family":"Röttgers","given":"Rüdiger","non-dropping-particle":"","parse-names":false,"suffix":""},{"dropping-particle":"","family":"Atlas","given":"Elliot","non-dropping-particle":"","parse-names":false,"suffix":""},{"dropping-particle":"","family":"Krüger","given":"Kirstin","non-dropping-particle":"","parse-names":false,"suffix":""}],"container-title":"Atmospheric Chemistry and Physics","id":"ITEM-1","issue":"1","issued":{"date-parts":[["2017","1","10"]]},"page":"385-402","title":"Direct oceanic emissions unlikely to account for the missing source of atmospheric carbonyl sulfide","type":"article-journal","volume":"17"},"uris":["http://www.mendeley.com/documents/?uuid=a7ea94e2-4d40-3266-ab12-9ea9320a9be7"]}],"mendeley":{"formattedCitation":"(Lennartz et al., 2017)","plainTextFormattedCitation":"(Lennartz et al., 2017)","previouslyFormattedCitation":"(Lennartz et al., 2017)"},"properties":{"noteIndex":0},"schema":"https://github.com/citation-style-language/schema/raw/master/csl-citation.json"}</w:instrText>
      </w:r>
      <w:r>
        <w:rPr>
          <w:lang w:val="en-GB"/>
        </w:rPr>
        <w:fldChar w:fldCharType="separate"/>
      </w:r>
      <w:r w:rsidRPr="001B075E">
        <w:rPr>
          <w:noProof/>
          <w:lang w:val="en-GB"/>
        </w:rPr>
        <w:t>(Lennartz et al., 2017)</w:t>
      </w:r>
      <w:r>
        <w:rPr>
          <w:lang w:val="en-GB"/>
        </w:rPr>
        <w:fldChar w:fldCharType="end"/>
      </w:r>
      <w:r>
        <w:rPr>
          <w:lang w:val="en-GB"/>
        </w:rPr>
        <w:t xml:space="preserve">, and builds on previous model efforts, especially those from </w:t>
      </w:r>
      <w:r>
        <w:rPr>
          <w:lang w:val="en-GB"/>
        </w:rPr>
        <w:fldChar w:fldCharType="begin" w:fldLock="1"/>
      </w:r>
      <w:r>
        <w:rPr>
          <w:lang w:val="en-GB"/>
        </w:rPr>
        <w:instrText>ADDIN CSL_CITATION {"citationItems":[{"id":"ITEM-1","itemData":{"author":[{"dropping-particle":"","family":"Kettle","given":"A.J.","non-dropping-particle":"","parse-names":false,"suffix":""}],"id":"ITEM-1","issued":{"date-parts":[["2000"]]},"number-of-pages":"320","publisher":"York University","title":"Extrapolations of the Flux of Dimethylsulfide, Carbon Monoxide, Carbonyl Sulfide and Carbon Disulfide from the Oceans","type":"thesis"},"uris":["http://www.mendeley.com/documents/?uuid=af8c04bf-d70a-4655-a111-b8677249fbce"]}],"mendeley":{"formattedCitation":"(Kettle, 2000)","plainTextFormattedCitation":"(Kettle, 2000)","previouslyFormattedCitation":"(Kettle, 2000)"},"properties":{"noteIndex":0},"schema":"https://github.com/citation-style-language/schema/raw/master/csl-citation.json"}</w:instrText>
      </w:r>
      <w:r>
        <w:rPr>
          <w:lang w:val="en-GB"/>
        </w:rPr>
        <w:fldChar w:fldCharType="separate"/>
      </w:r>
      <w:r w:rsidRPr="001B075E">
        <w:rPr>
          <w:noProof/>
          <w:lang w:val="en-GB"/>
        </w:rPr>
        <w:t>(Kettle, 2000)</w:t>
      </w:r>
      <w:r>
        <w:rPr>
          <w:lang w:val="en-GB"/>
        </w:rPr>
        <w:fldChar w:fldCharType="end"/>
      </w:r>
      <w:r>
        <w:rPr>
          <w:lang w:val="en-GB"/>
        </w:rPr>
        <w:t xml:space="preserve"> and </w:t>
      </w:r>
      <w:r>
        <w:rPr>
          <w:lang w:val="en-GB"/>
        </w:rPr>
        <w:fldChar w:fldCharType="begin" w:fldLock="1"/>
      </w:r>
      <w:r>
        <w:rPr>
          <w:lang w:val="en-GB"/>
        </w:rPr>
        <w:instrText>ADDIN CSL_CITATION {"citationItems":[{"id":"ITEM-1","itemData":{"DOI":"10.1029/2000JC000712","ISSN":"0148-0227","author":[{"dropping-particle":"","family":"Hobe","given":"M.","non-dropping-particle":"von","parse-names":false,"suffix":""},{"dropping-particle":"","family":"Najjar","given":"R. G.","non-dropping-particle":"","parse-names":false,"suffix":""},{"dropping-particle":"","family":"Kettle","given":"A. J.","non-dropping-particle":"","parse-names":false,"suffix":""},{"dropping-particle":"","family":"Andreae","given":"M. O.","non-dropping-particle":"","parse-names":false,"suffix":""}],"container-title":"Journal of Geophysical Research","id":"ITEM-1","issue":"C7","issued":{"date-parts":[["2003","7","1"]]},"page":"3229","publisher":"John Wiley &amp; Sons, Ltd","title":"Photochemical and physical modeling of carbonyl sulfide in the ocean","type":"article-journal","volume":"108"},"uris":["http://www.mendeley.com/documents/?uuid=6bdd2a9b-96ac-3707-8ffb-e29668611f66"]}],"mendeley":{"formattedCitation":"(von Hobe et al., 2003)","plainTextFormattedCitation":"(von Hobe et al., 2003)","previouslyFormattedCitation":"(von Hobe et al., 2003)"},"properties":{"noteIndex":0},"schema":"https://github.com/citation-style-language/schema/raw/master/csl-citation.json"}</w:instrText>
      </w:r>
      <w:r>
        <w:rPr>
          <w:lang w:val="en-GB"/>
        </w:rPr>
        <w:fldChar w:fldCharType="separate"/>
      </w:r>
      <w:r w:rsidRPr="001B075E">
        <w:rPr>
          <w:noProof/>
          <w:lang w:val="en-GB"/>
        </w:rPr>
        <w:t>(von Hobe et al., 2003)</w:t>
      </w:r>
      <w:r>
        <w:rPr>
          <w:lang w:val="en-GB"/>
        </w:rPr>
        <w:fldChar w:fldCharType="end"/>
      </w:r>
      <w:r>
        <w:rPr>
          <w:lang w:val="en-GB"/>
        </w:rPr>
        <w:t>. It is a two-dimensional model of the surface ocean</w:t>
      </w:r>
      <w:r w:rsidR="009A17D0">
        <w:rPr>
          <w:lang w:val="en-GB"/>
        </w:rPr>
        <w:t>, simulating</w:t>
      </w:r>
      <w:r>
        <w:rPr>
          <w:lang w:val="en-GB"/>
        </w:rPr>
        <w:t xml:space="preserve"> the production (</w:t>
      </w:r>
      <w:proofErr w:type="spellStart"/>
      <w:r>
        <w:rPr>
          <w:lang w:val="en-GB"/>
        </w:rPr>
        <w:t>photoproduction</w:t>
      </w:r>
      <w:proofErr w:type="spellEnd"/>
      <w:r>
        <w:rPr>
          <w:lang w:val="en-GB"/>
        </w:rPr>
        <w:t xml:space="preserve"> and dark production) and degradation (hydrolysis) and air-sea exchange of carbonyl </w:t>
      </w:r>
      <w:proofErr w:type="spellStart"/>
      <w:r>
        <w:rPr>
          <w:lang w:val="en-GB"/>
        </w:rPr>
        <w:t>sulfide</w:t>
      </w:r>
      <w:proofErr w:type="spellEnd"/>
      <w:r>
        <w:rPr>
          <w:lang w:val="en-GB"/>
        </w:rPr>
        <w:t xml:space="preserve">. Each box in the model grid is considered with variable depth depending on the mixed layer depth in each particular location, so that the light penetration for </w:t>
      </w:r>
      <w:proofErr w:type="spellStart"/>
      <w:r>
        <w:rPr>
          <w:lang w:val="en-GB"/>
        </w:rPr>
        <w:t>photoproduction</w:t>
      </w:r>
      <w:proofErr w:type="spellEnd"/>
      <w:r>
        <w:rPr>
          <w:lang w:val="en-GB"/>
        </w:rPr>
        <w:t xml:space="preserve"> can be calculated accordingly. The boxes do not exchange water horizontally</w:t>
      </w:r>
      <w:r w:rsidR="009A17D0">
        <w:rPr>
          <w:lang w:val="en-GB"/>
        </w:rPr>
        <w:t xml:space="preserve"> (no transport considered!)</w:t>
      </w:r>
      <w:r>
        <w:rPr>
          <w:lang w:val="en-GB"/>
        </w:rPr>
        <w:t xml:space="preserve">. </w:t>
      </w:r>
      <w:r w:rsidR="009413EA">
        <w:rPr>
          <w:lang w:val="en-GB"/>
        </w:rPr>
        <w:t xml:space="preserve">Note that the model calculates OCS in </w:t>
      </w:r>
      <w:proofErr w:type="spellStart"/>
      <w:r w:rsidR="009413EA">
        <w:rPr>
          <w:lang w:val="en-GB"/>
        </w:rPr>
        <w:t>nanomoles</w:t>
      </w:r>
      <w:proofErr w:type="spellEnd"/>
      <w:r w:rsidR="009413EA">
        <w:rPr>
          <w:lang w:val="en-GB"/>
        </w:rPr>
        <w:t xml:space="preserve"> per litres, so divide by 1000 to get to </w:t>
      </w:r>
      <w:proofErr w:type="spellStart"/>
      <w:r w:rsidR="009413EA">
        <w:rPr>
          <w:lang w:val="en-GB"/>
        </w:rPr>
        <w:t>picomolar</w:t>
      </w:r>
      <w:proofErr w:type="spellEnd"/>
      <w:r w:rsidR="009413EA">
        <w:rPr>
          <w:lang w:val="en-GB"/>
        </w:rPr>
        <w:t xml:space="preserve"> concentrations. </w:t>
      </w:r>
      <w:r>
        <w:rPr>
          <w:lang w:val="en-GB"/>
        </w:rPr>
        <w:t xml:space="preserve">If you use this model, please cite </w:t>
      </w:r>
      <w:r>
        <w:rPr>
          <w:lang w:val="en-GB"/>
        </w:rPr>
        <w:fldChar w:fldCharType="begin" w:fldLock="1"/>
      </w:r>
      <w:r>
        <w:rPr>
          <w:lang w:val="en-GB"/>
        </w:rPr>
        <w:instrText>ADDIN CSL_CITATION {"citationItems":[{"id":"ITEM-1","itemData":{"DOI":"10.5194/acp-17-385-2017","ISSN":"1680-7324","abstract":"&lt;p&gt;&lt;p&gt;&lt;strong&gt;Abstract.&lt;/strong&gt; The climate active trace-gas carbonyl sulfide (OCS) is the most abundant sulfur gas in the atmosphere. A missing source in its atmospheric budget is currently suggested, resulting from an upward revision of the vegetation sink. Tropical oceanic emissions have been proposed to close the resulting gap in the atmospheric budget. We present a bottom-up approach including (i) new observations of OCS in surface waters of the tropical Atlantic, Pacific and Indian oceans and (ii) a further improved global box model to show that direct OCS emissions are unlikely to account for the missing source. The box model suggests an undersaturation of the surface water with respect to OCS integrated over the entire tropical ocean area and, further, global annual direct emissions of OCS well below that suggested by top-down estimates. In addition, we discuss the potential of indirect emission from CS&lt;sub&gt;2&lt;/sub&gt; and dimethylsulfide (DMS) to account for the gap in the atmospheric budget. This bottom-up estimate of oceanic emissions has implications for using OCS as a proxy for global terrestrial CO&lt;sub&gt;2&lt;/sub&gt; uptake, which is currently impeded by the inadequate quantification of atmospheric OCS sources and sinks.&lt;/p&gt;&lt;/p&gt;","author":[{"dropping-particle":"","family":"Lennartz","given":"Sinikka T.","non-dropping-particle":"","parse-names":false,"suffix":""},{"dropping-particle":"","family":"Marandino","given":"Christa A.","non-dropping-particle":"","parse-names":false,"suffix":""},{"dropping-particle":"","family":"Hobe","given":"Marc","non-dropping-particle":"von","parse-names":false,"suffix":""},{"dropping-particle":"","family":"Cortes","given":"Pau","non-dropping-particle":"","parse-names":false,"suffix":""},{"dropping-particle":"","family":"Quack","given":"Birgit","non-dropping-particle":"","parse-names":false,"suffix":""},{"dropping-particle":"","family":"Simo","given":"Rafel","non-dropping-particle":"","parse-names":false,"suffix":""},{"dropping-particle":"","family":"Booge","given":"Dennis","non-dropping-particle":"","parse-names":false,"suffix":""},{"dropping-particle":"","family":"Pozzer","given":"Andrea","non-dropping-particle":"","parse-names":false,"suffix":""},{"dropping-particle":"","family":"Steinhoff","given":"Tobias","non-dropping-particle":"","parse-names":false,"suffix":""},{"dropping-particle":"","family":"Arevalo-Martinez","given":"Damian L.","non-dropping-particle":"","parse-names":false,"suffix":""},{"dropping-particle":"","family":"Kloss","given":"Corinna","non-dropping-particle":"","parse-names":false,"suffix":""},{"dropping-particle":"","family":"Bracher","given":"Astrid","non-dropping-particle":"","parse-names":false,"suffix":""},{"dropping-particle":"","family":"Röttgers","given":"Rüdiger","non-dropping-particle":"","parse-names":false,"suffix":""},{"dropping-particle":"","family":"Atlas","given":"Elliot","non-dropping-particle":"","parse-names":false,"suffix":""},{"dropping-particle":"","family":"Krüger","given":"Kirstin","non-dropping-particle":"","parse-names":false,"suffix":""}],"container-title":"Atmospheric Chemistry and Physics","id":"ITEM-1","issue":"1","issued":{"date-parts":[["2017","1","10"]]},"page":"385-402","title":"Direct oceanic emissions unlikely to account for the missing source of atmospheric carbonyl sulfide","type":"article-journal","volume":"17"},"uris":["http://www.mendeley.com/documents/?uuid=a7ea94e2-4d40-3266-ab12-9ea9320a9be7"]}],"mendeley":{"formattedCitation":"(Lennartz et al., 2017)","plainTextFormattedCitation":"(Lennartz et al., 2017)"},"properties":{"noteIndex":0},"schema":"https://github.com/citation-style-language/schema/raw/master/csl-citation.json"}</w:instrText>
      </w:r>
      <w:r>
        <w:rPr>
          <w:lang w:val="en-GB"/>
        </w:rPr>
        <w:fldChar w:fldCharType="separate"/>
      </w:r>
      <w:r w:rsidRPr="001B075E">
        <w:rPr>
          <w:noProof/>
          <w:lang w:val="en-GB"/>
        </w:rPr>
        <w:t>(Lennartz et al., 2017)</w:t>
      </w:r>
      <w:r>
        <w:rPr>
          <w:lang w:val="en-GB"/>
        </w:rPr>
        <w:fldChar w:fldCharType="end"/>
      </w:r>
      <w:r>
        <w:rPr>
          <w:lang w:val="en-GB"/>
        </w:rPr>
        <w:t xml:space="preserve">, if you find bugs, please let me know  - </w:t>
      </w:r>
      <w:proofErr w:type="spellStart"/>
      <w:r>
        <w:rPr>
          <w:lang w:val="en-GB"/>
        </w:rPr>
        <w:t>sinikka.lennartz</w:t>
      </w:r>
      <w:proofErr w:type="spellEnd"/>
      <w:r>
        <w:rPr>
          <w:lang w:val="en-GB"/>
        </w:rPr>
        <w:t>[at]uni-oldenburg.de</w:t>
      </w:r>
    </w:p>
    <w:p w:rsidR="00FE320E" w:rsidRPr="00FE320E" w:rsidRDefault="00FE320E" w:rsidP="001B075E">
      <w:pPr>
        <w:pStyle w:val="Listenabsatz"/>
        <w:rPr>
          <w:lang w:val="en-GB"/>
        </w:rPr>
      </w:pPr>
    </w:p>
    <w:p w:rsidR="00FE320E" w:rsidRPr="007C3946" w:rsidRDefault="00FE320E" w:rsidP="00FE320E">
      <w:pPr>
        <w:pStyle w:val="Listenabsatz"/>
        <w:numPr>
          <w:ilvl w:val="0"/>
          <w:numId w:val="1"/>
        </w:numPr>
        <w:rPr>
          <w:b/>
          <w:lang w:val="en-GB"/>
        </w:rPr>
      </w:pPr>
      <w:r w:rsidRPr="007C3946">
        <w:rPr>
          <w:b/>
          <w:lang w:val="en-GB"/>
        </w:rPr>
        <w:t>Model overview</w:t>
      </w:r>
    </w:p>
    <w:p w:rsidR="001B075E" w:rsidRPr="001B075E" w:rsidRDefault="001B075E" w:rsidP="001B075E">
      <w:pPr>
        <w:rPr>
          <w:lang w:val="en-GB"/>
        </w:rPr>
      </w:pPr>
      <w:r>
        <w:rPr>
          <w:lang w:val="en-GB"/>
        </w:rPr>
        <w:t>The following flow chart illustrates the input data (left) needed for the respective processes (</w:t>
      </w:r>
      <w:proofErr w:type="spellStart"/>
      <w:r>
        <w:rPr>
          <w:lang w:val="en-GB"/>
        </w:rPr>
        <w:t>photoproduction</w:t>
      </w:r>
      <w:proofErr w:type="spellEnd"/>
      <w:r>
        <w:rPr>
          <w:lang w:val="en-GB"/>
        </w:rPr>
        <w:t xml:space="preserve">, dark production, hydrolysis, air-sea exchange) and the final prognostic/state-variable: OCS concentration in the mixed layer (average, assuming a fully mixed </w:t>
      </w:r>
      <w:proofErr w:type="spellStart"/>
      <w:r>
        <w:rPr>
          <w:lang w:val="en-GB"/>
        </w:rPr>
        <w:t>mixed</w:t>
      </w:r>
      <w:proofErr w:type="spellEnd"/>
      <w:r>
        <w:rPr>
          <w:lang w:val="en-GB"/>
        </w:rPr>
        <w:t xml:space="preserve"> layer)</w:t>
      </w:r>
      <w:r w:rsidR="0051606D">
        <w:rPr>
          <w:lang w:val="en-GB"/>
        </w:rPr>
        <w:t>.</w:t>
      </w:r>
    </w:p>
    <w:p w:rsidR="00FE320E" w:rsidRDefault="00FE320E" w:rsidP="00FE320E">
      <w:pPr>
        <w:rPr>
          <w:lang w:val="en-GB"/>
        </w:rPr>
      </w:pPr>
      <w:r>
        <w:rPr>
          <w:noProof/>
          <w:lang w:eastAsia="de-DE"/>
        </w:rPr>
        <w:drawing>
          <wp:inline distT="0" distB="0" distL="0" distR="0" wp14:anchorId="3DF158A1" wp14:editId="6EE1DD7F">
            <wp:extent cx="5568950" cy="313253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overview_oc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633" cy="3157105"/>
                    </a:xfrm>
                    <a:prstGeom prst="rect">
                      <a:avLst/>
                    </a:prstGeom>
                  </pic:spPr>
                </pic:pic>
              </a:graphicData>
            </a:graphic>
          </wp:inline>
        </w:drawing>
      </w:r>
    </w:p>
    <w:p w:rsidR="001B075E" w:rsidRPr="001B075E" w:rsidRDefault="001B075E" w:rsidP="001B075E">
      <w:pPr>
        <w:pStyle w:val="Listenabsatz"/>
        <w:numPr>
          <w:ilvl w:val="0"/>
          <w:numId w:val="1"/>
        </w:numPr>
        <w:rPr>
          <w:b/>
          <w:lang w:val="en-GB"/>
        </w:rPr>
      </w:pPr>
      <w:r w:rsidRPr="001B075E">
        <w:rPr>
          <w:b/>
          <w:lang w:val="en-GB"/>
        </w:rPr>
        <w:t>Usage</w:t>
      </w:r>
    </w:p>
    <w:p w:rsidR="001B075E" w:rsidRDefault="001B075E" w:rsidP="001B075E">
      <w:pPr>
        <w:pStyle w:val="Listenabsatz"/>
        <w:rPr>
          <w:lang w:val="en-GB"/>
        </w:rPr>
      </w:pPr>
    </w:p>
    <w:p w:rsidR="001B075E" w:rsidRDefault="001B075E" w:rsidP="001B075E">
      <w:pPr>
        <w:pStyle w:val="Listenabsatz"/>
        <w:numPr>
          <w:ilvl w:val="0"/>
          <w:numId w:val="2"/>
        </w:numPr>
        <w:rPr>
          <w:lang w:val="en-GB"/>
        </w:rPr>
      </w:pPr>
      <w:r>
        <w:rPr>
          <w:lang w:val="en-GB"/>
        </w:rPr>
        <w:t xml:space="preserve">Download the model code into your working folder: the code files should all be in the same directory, and the data should be in a subdirectory called “data”. </w:t>
      </w:r>
    </w:p>
    <w:p w:rsidR="001B075E" w:rsidRDefault="001B075E" w:rsidP="001B075E">
      <w:pPr>
        <w:pStyle w:val="Listenabsatz"/>
        <w:numPr>
          <w:ilvl w:val="0"/>
          <w:numId w:val="2"/>
        </w:numPr>
        <w:rPr>
          <w:lang w:val="en-GB"/>
        </w:rPr>
      </w:pPr>
      <w:r>
        <w:rPr>
          <w:lang w:val="en-GB"/>
        </w:rPr>
        <w:t xml:space="preserve">Make sure the current folder and its subfolders are added to the </w:t>
      </w:r>
      <w:proofErr w:type="spellStart"/>
      <w:r>
        <w:rPr>
          <w:lang w:val="en-GB"/>
        </w:rPr>
        <w:t>Matlab</w:t>
      </w:r>
      <w:proofErr w:type="spellEnd"/>
      <w:r>
        <w:rPr>
          <w:lang w:val="en-GB"/>
        </w:rPr>
        <w:t xml:space="preserve"> path (or set the current directory to the directory with the model code)</w:t>
      </w:r>
    </w:p>
    <w:p w:rsidR="001B075E" w:rsidRDefault="001B075E" w:rsidP="001B075E">
      <w:pPr>
        <w:pStyle w:val="Listenabsatz"/>
        <w:numPr>
          <w:ilvl w:val="0"/>
          <w:numId w:val="2"/>
        </w:numPr>
        <w:rPr>
          <w:lang w:val="en-GB"/>
        </w:rPr>
      </w:pPr>
      <w:r>
        <w:rPr>
          <w:lang w:val="en-GB"/>
        </w:rPr>
        <w:lastRenderedPageBreak/>
        <w:t>Add the forcing data to the subdirectory: either give the files the default names as they appear in the function “</w:t>
      </w:r>
      <w:proofErr w:type="spellStart"/>
      <w:r>
        <w:rPr>
          <w:lang w:val="en-GB"/>
        </w:rPr>
        <w:t>loadin.m</w:t>
      </w:r>
      <w:proofErr w:type="spellEnd"/>
      <w:r>
        <w:rPr>
          <w:lang w:val="en-GB"/>
        </w:rPr>
        <w:t>”, or adjust the “</w:t>
      </w:r>
      <w:proofErr w:type="spellStart"/>
      <w:r>
        <w:rPr>
          <w:lang w:val="en-GB"/>
        </w:rPr>
        <w:t>loadin.m</w:t>
      </w:r>
      <w:proofErr w:type="spellEnd"/>
      <w:r>
        <w:rPr>
          <w:lang w:val="en-GB"/>
        </w:rPr>
        <w:t>” file accordingly. The format of the data should be the following</w:t>
      </w:r>
    </w:p>
    <w:p w:rsidR="001B075E" w:rsidRPr="0035682A" w:rsidRDefault="0035682A" w:rsidP="001B075E">
      <w:pPr>
        <w:pStyle w:val="Listenabsatz"/>
        <w:numPr>
          <w:ilvl w:val="1"/>
          <w:numId w:val="2"/>
        </w:numPr>
        <w:rPr>
          <w:lang w:val="en-GB"/>
        </w:rPr>
      </w:pPr>
      <w:r w:rsidRPr="0035682A">
        <w:rPr>
          <w:lang w:val="en-GB"/>
        </w:rPr>
        <w:t>Climatological data (</w:t>
      </w:r>
      <w:proofErr w:type="spellStart"/>
      <w:r w:rsidRPr="0035682A">
        <w:rPr>
          <w:lang w:val="en-GB"/>
        </w:rPr>
        <w:t>cair</w:t>
      </w:r>
      <w:proofErr w:type="spellEnd"/>
      <w:r w:rsidRPr="0035682A">
        <w:rPr>
          <w:lang w:val="en-GB"/>
        </w:rPr>
        <w:t xml:space="preserve"> – air mixing ratio, </w:t>
      </w:r>
      <w:proofErr w:type="spellStart"/>
      <w:r w:rsidRPr="0035682A">
        <w:rPr>
          <w:lang w:val="en-GB"/>
        </w:rPr>
        <w:t>lat</w:t>
      </w:r>
      <w:proofErr w:type="spellEnd"/>
      <w:r w:rsidRPr="0035682A">
        <w:rPr>
          <w:lang w:val="en-GB"/>
        </w:rPr>
        <w:t xml:space="preserve"> – latitude, </w:t>
      </w:r>
      <w:proofErr w:type="spellStart"/>
      <w:proofErr w:type="gramStart"/>
      <w:r w:rsidRPr="0035682A">
        <w:rPr>
          <w:lang w:val="en-GB"/>
        </w:rPr>
        <w:t>lon</w:t>
      </w:r>
      <w:proofErr w:type="spellEnd"/>
      <w:r w:rsidRPr="0035682A">
        <w:rPr>
          <w:lang w:val="en-GB"/>
        </w:rPr>
        <w:t xml:space="preserve">  -</w:t>
      </w:r>
      <w:proofErr w:type="gramEnd"/>
      <w:r w:rsidRPr="0035682A">
        <w:rPr>
          <w:lang w:val="en-GB"/>
        </w:rPr>
        <w:t xml:space="preserve"> </w:t>
      </w:r>
      <w:proofErr w:type="spellStart"/>
      <w:r w:rsidRPr="0035682A">
        <w:rPr>
          <w:lang w:val="en-GB"/>
        </w:rPr>
        <w:t>laongitude</w:t>
      </w:r>
      <w:proofErr w:type="spellEnd"/>
      <w:r w:rsidRPr="0035682A">
        <w:rPr>
          <w:lang w:val="en-GB"/>
        </w:rPr>
        <w:t xml:space="preserve">, MLD – mixed layer depth, pH, </w:t>
      </w:r>
      <w:proofErr w:type="spellStart"/>
      <w:r w:rsidRPr="0035682A">
        <w:rPr>
          <w:lang w:val="en-GB"/>
        </w:rPr>
        <w:t>sal</w:t>
      </w:r>
      <w:proofErr w:type="spellEnd"/>
      <w:r w:rsidRPr="0035682A">
        <w:rPr>
          <w:lang w:val="en-GB"/>
        </w:rPr>
        <w:t xml:space="preserve"> – salinity): dimensions </w:t>
      </w:r>
      <w:proofErr w:type="spellStart"/>
      <w:r w:rsidRPr="0035682A">
        <w:rPr>
          <w:lang w:val="en-GB"/>
        </w:rPr>
        <w:t>lat</w:t>
      </w:r>
      <w:proofErr w:type="spellEnd"/>
      <w:r w:rsidRPr="0035682A">
        <w:rPr>
          <w:lang w:val="en-GB"/>
        </w:rPr>
        <w:t xml:space="preserve"> x </w:t>
      </w:r>
      <w:proofErr w:type="spellStart"/>
      <w:r w:rsidRPr="0035682A">
        <w:rPr>
          <w:lang w:val="en-GB"/>
        </w:rPr>
        <w:t>lon</w:t>
      </w:r>
      <w:proofErr w:type="spellEnd"/>
      <w:r w:rsidRPr="0035682A">
        <w:rPr>
          <w:lang w:val="en-GB"/>
        </w:rPr>
        <w:t xml:space="preserve"> x month, all in main “data” Folder</w:t>
      </w:r>
    </w:p>
    <w:p w:rsidR="0035682A" w:rsidRPr="0035682A" w:rsidRDefault="0035682A" w:rsidP="001B075E">
      <w:pPr>
        <w:pStyle w:val="Listenabsatz"/>
        <w:numPr>
          <w:ilvl w:val="1"/>
          <w:numId w:val="2"/>
        </w:numPr>
        <w:rPr>
          <w:lang w:val="en-GB"/>
        </w:rPr>
      </w:pPr>
      <w:r w:rsidRPr="0035682A">
        <w:rPr>
          <w:lang w:val="en-GB"/>
        </w:rPr>
        <w:t xml:space="preserve">Monthly resolved data (ACDOM350): dimensions </w:t>
      </w:r>
      <w:proofErr w:type="spellStart"/>
      <w:r w:rsidRPr="0035682A">
        <w:rPr>
          <w:lang w:val="en-GB"/>
        </w:rPr>
        <w:t>lat</w:t>
      </w:r>
      <w:proofErr w:type="spellEnd"/>
      <w:r w:rsidRPr="0035682A">
        <w:rPr>
          <w:lang w:val="en-GB"/>
        </w:rPr>
        <w:t xml:space="preserve"> x </w:t>
      </w:r>
      <w:proofErr w:type="spellStart"/>
      <w:r w:rsidRPr="0035682A">
        <w:rPr>
          <w:lang w:val="en-GB"/>
        </w:rPr>
        <w:t>lon</w:t>
      </w:r>
      <w:proofErr w:type="spellEnd"/>
      <w:r w:rsidRPr="0035682A">
        <w:rPr>
          <w:lang w:val="en-GB"/>
        </w:rPr>
        <w:t xml:space="preserve"> x month</w:t>
      </w:r>
    </w:p>
    <w:p w:rsidR="0035682A" w:rsidRPr="0035682A" w:rsidRDefault="0035682A" w:rsidP="001B075E">
      <w:pPr>
        <w:pStyle w:val="Listenabsatz"/>
        <w:numPr>
          <w:ilvl w:val="1"/>
          <w:numId w:val="2"/>
        </w:numPr>
        <w:rPr>
          <w:lang w:val="en-GB"/>
        </w:rPr>
      </w:pPr>
      <w:r w:rsidRPr="0035682A">
        <w:rPr>
          <w:lang w:val="en-GB"/>
        </w:rPr>
        <w:t xml:space="preserve">Monthly resolved data with diel cycle (data point every 2 hr </w:t>
      </w:r>
      <w:proofErr w:type="gramStart"/>
      <w:r w:rsidRPr="0035682A">
        <w:rPr>
          <w:lang w:val="en-GB"/>
        </w:rPr>
        <w:t>- ,</w:t>
      </w:r>
      <w:proofErr w:type="gramEnd"/>
      <w:r w:rsidRPr="0035682A">
        <w:rPr>
          <w:lang w:val="en-GB"/>
        </w:rPr>
        <w:t xml:space="preserve"> press – pressure, </w:t>
      </w:r>
      <w:proofErr w:type="spellStart"/>
      <w:r w:rsidRPr="0035682A">
        <w:rPr>
          <w:lang w:val="en-GB"/>
        </w:rPr>
        <w:t>sst</w:t>
      </w:r>
      <w:proofErr w:type="spellEnd"/>
      <w:r w:rsidRPr="0035682A">
        <w:rPr>
          <w:lang w:val="en-GB"/>
        </w:rPr>
        <w:t xml:space="preserve"> – sea surface temperature, wind – wind speed, </w:t>
      </w:r>
      <w:proofErr w:type="spellStart"/>
      <w:r w:rsidRPr="0035682A">
        <w:rPr>
          <w:lang w:val="en-GB"/>
        </w:rPr>
        <w:t>ssrd</w:t>
      </w:r>
      <w:proofErr w:type="spellEnd"/>
      <w:r w:rsidRPr="0035682A">
        <w:rPr>
          <w:lang w:val="en-GB"/>
        </w:rPr>
        <w:t xml:space="preserve"> – short wave </w:t>
      </w:r>
      <w:proofErr w:type="spellStart"/>
      <w:r w:rsidRPr="0035682A">
        <w:rPr>
          <w:lang w:val="en-GB"/>
        </w:rPr>
        <w:t>downwelling</w:t>
      </w:r>
      <w:proofErr w:type="spellEnd"/>
      <w:r w:rsidRPr="0035682A">
        <w:rPr>
          <w:lang w:val="en-GB"/>
        </w:rPr>
        <w:t xml:space="preserve"> radiation): </w:t>
      </w:r>
      <w:proofErr w:type="spellStart"/>
      <w:r w:rsidRPr="0035682A">
        <w:rPr>
          <w:lang w:val="en-GB"/>
        </w:rPr>
        <w:t>lat</w:t>
      </w:r>
      <w:proofErr w:type="spellEnd"/>
      <w:r w:rsidRPr="0035682A">
        <w:rPr>
          <w:lang w:val="en-GB"/>
        </w:rPr>
        <w:t xml:space="preserve"> x </w:t>
      </w:r>
      <w:proofErr w:type="spellStart"/>
      <w:r w:rsidRPr="0035682A">
        <w:rPr>
          <w:lang w:val="en-GB"/>
        </w:rPr>
        <w:t>lon</w:t>
      </w:r>
      <w:proofErr w:type="spellEnd"/>
      <w:r w:rsidRPr="0035682A">
        <w:rPr>
          <w:lang w:val="en-GB"/>
        </w:rPr>
        <w:t xml:space="preserve"> x </w:t>
      </w:r>
      <w:proofErr w:type="spellStart"/>
      <w:r w:rsidRPr="0035682A">
        <w:rPr>
          <w:lang w:val="en-GB"/>
        </w:rPr>
        <w:t>timeofday</w:t>
      </w:r>
      <w:proofErr w:type="spellEnd"/>
      <w:r w:rsidRPr="0035682A">
        <w:rPr>
          <w:lang w:val="en-GB"/>
        </w:rPr>
        <w:t xml:space="preserve"> x month</w:t>
      </w:r>
    </w:p>
    <w:p w:rsidR="00FD099D" w:rsidRPr="0035682A" w:rsidRDefault="00FD099D" w:rsidP="001B075E">
      <w:pPr>
        <w:pStyle w:val="Listenabsatz"/>
        <w:numPr>
          <w:ilvl w:val="1"/>
          <w:numId w:val="2"/>
        </w:numPr>
        <w:rPr>
          <w:lang w:val="en-GB"/>
        </w:rPr>
      </w:pPr>
      <w:r w:rsidRPr="0035682A">
        <w:rPr>
          <w:lang w:val="en-GB"/>
        </w:rPr>
        <w:t xml:space="preserve">Note that all input data need to have the same spatial format, and currently, the T42 grid (64x128) is hardcoded. Changes on this would need </w:t>
      </w:r>
      <w:r w:rsidR="0035682A" w:rsidRPr="0035682A">
        <w:rPr>
          <w:lang w:val="en-GB"/>
        </w:rPr>
        <w:t xml:space="preserve">several </w:t>
      </w:r>
      <w:r w:rsidRPr="0035682A">
        <w:rPr>
          <w:lang w:val="en-GB"/>
        </w:rPr>
        <w:t>changes in init2D_interp.m</w:t>
      </w:r>
      <w:r w:rsidR="0035682A" w:rsidRPr="0035682A">
        <w:rPr>
          <w:lang w:val="en-GB"/>
        </w:rPr>
        <w:t xml:space="preserve">, </w:t>
      </w:r>
      <w:proofErr w:type="spellStart"/>
      <w:r w:rsidR="0035682A" w:rsidRPr="0035682A">
        <w:rPr>
          <w:lang w:val="en-GB"/>
        </w:rPr>
        <w:t>calcphotoproduction.m</w:t>
      </w:r>
      <w:proofErr w:type="spellEnd"/>
      <w:r w:rsidR="0035682A" w:rsidRPr="0035682A">
        <w:rPr>
          <w:lang w:val="en-GB"/>
        </w:rPr>
        <w:t xml:space="preserve"> and potentially some others</w:t>
      </w:r>
      <w:r w:rsidRPr="0035682A">
        <w:rPr>
          <w:lang w:val="en-GB"/>
        </w:rPr>
        <w:t>.</w:t>
      </w:r>
    </w:p>
    <w:p w:rsidR="001B075E" w:rsidRDefault="001B075E" w:rsidP="001B075E">
      <w:pPr>
        <w:pStyle w:val="Listenabsatz"/>
        <w:numPr>
          <w:ilvl w:val="0"/>
          <w:numId w:val="2"/>
        </w:numPr>
        <w:rPr>
          <w:lang w:val="en-GB"/>
        </w:rPr>
      </w:pPr>
      <w:r>
        <w:rPr>
          <w:lang w:val="en-GB"/>
        </w:rPr>
        <w:t xml:space="preserve"> Set parameters: you can set the parameters for the selection of the hydrolysis constant, the </w:t>
      </w:r>
      <w:proofErr w:type="spellStart"/>
      <w:r>
        <w:rPr>
          <w:lang w:val="en-GB"/>
        </w:rPr>
        <w:t>photoproduction</w:t>
      </w:r>
      <w:proofErr w:type="spellEnd"/>
      <w:r>
        <w:rPr>
          <w:lang w:val="en-GB"/>
        </w:rPr>
        <w:t xml:space="preserve"> rate calculation, the air-sea exchange parameterization, the interpolation method for global radiation, the Henry constant and its temperature dependency. This can be done in the main file “</w:t>
      </w:r>
      <w:proofErr w:type="spellStart"/>
      <w:r>
        <w:rPr>
          <w:lang w:val="en-GB"/>
        </w:rPr>
        <w:t>BMOCSmainloop_alone.m</w:t>
      </w:r>
      <w:proofErr w:type="spellEnd"/>
      <w:r>
        <w:rPr>
          <w:lang w:val="en-GB"/>
        </w:rPr>
        <w:t>” (the “alone” refers to the standalone version, there exists an inverse set-up as well which is not part of this release as it is not available in a global configuration – contact me if interested).</w:t>
      </w:r>
    </w:p>
    <w:p w:rsidR="007C3946" w:rsidRDefault="007C3946" w:rsidP="007C3946">
      <w:pPr>
        <w:pStyle w:val="Listenabsatz"/>
        <w:numPr>
          <w:ilvl w:val="0"/>
          <w:numId w:val="2"/>
        </w:numPr>
        <w:rPr>
          <w:lang w:val="en-GB"/>
        </w:rPr>
      </w:pPr>
      <w:r>
        <w:rPr>
          <w:lang w:val="en-GB"/>
        </w:rPr>
        <w:t>Set initialisation year and month in “</w:t>
      </w:r>
      <w:proofErr w:type="spellStart"/>
      <w:r>
        <w:rPr>
          <w:lang w:val="en-GB"/>
        </w:rPr>
        <w:t>BMOCSmainloop_alone.m</w:t>
      </w:r>
      <w:proofErr w:type="spellEnd"/>
      <w:r>
        <w:rPr>
          <w:lang w:val="en-GB"/>
        </w:rPr>
        <w:t>”: this needs to be done as “</w:t>
      </w:r>
      <w:proofErr w:type="spellStart"/>
      <w:r>
        <w:rPr>
          <w:lang w:val="en-GB"/>
        </w:rPr>
        <w:t>inityear</w:t>
      </w:r>
      <w:proofErr w:type="spellEnd"/>
      <w:r>
        <w:rPr>
          <w:lang w:val="en-GB"/>
        </w:rPr>
        <w:t>=”</w:t>
      </w:r>
      <w:r w:rsidR="00FD099D">
        <w:rPr>
          <w:lang w:val="en-GB"/>
        </w:rPr>
        <w:t>, also “</w:t>
      </w:r>
      <w:proofErr w:type="spellStart"/>
      <w:r w:rsidR="00FD099D">
        <w:rPr>
          <w:lang w:val="en-GB"/>
        </w:rPr>
        <w:t>endyear</w:t>
      </w:r>
      <w:proofErr w:type="spellEnd"/>
      <w:r w:rsidR="00FD099D">
        <w:rPr>
          <w:lang w:val="en-GB"/>
        </w:rPr>
        <w:t>=” to define the last year considered</w:t>
      </w:r>
    </w:p>
    <w:p w:rsidR="00FD099D" w:rsidRDefault="00FD099D" w:rsidP="007C3946">
      <w:pPr>
        <w:pStyle w:val="Listenabsatz"/>
        <w:numPr>
          <w:ilvl w:val="0"/>
          <w:numId w:val="2"/>
        </w:numPr>
        <w:rPr>
          <w:lang w:val="en-GB"/>
        </w:rPr>
      </w:pPr>
      <w:r>
        <w:rPr>
          <w:lang w:val="en-GB"/>
        </w:rPr>
        <w:t xml:space="preserve">Set initial condition in “init2D_interp.m” (search in file for “Initial conditions”). Default is 8 </w:t>
      </w:r>
      <w:proofErr w:type="spellStart"/>
      <w:r>
        <w:rPr>
          <w:lang w:val="en-GB"/>
        </w:rPr>
        <w:t>pmol</w:t>
      </w:r>
      <w:proofErr w:type="spellEnd"/>
      <w:r>
        <w:rPr>
          <w:lang w:val="en-GB"/>
        </w:rPr>
        <w:t>/L.</w:t>
      </w:r>
    </w:p>
    <w:p w:rsidR="008A09E6" w:rsidRPr="007C3946" w:rsidRDefault="008A09E6" w:rsidP="007C3946">
      <w:pPr>
        <w:pStyle w:val="Listenabsatz"/>
        <w:numPr>
          <w:ilvl w:val="0"/>
          <w:numId w:val="2"/>
        </w:numPr>
        <w:rPr>
          <w:lang w:val="en-GB"/>
        </w:rPr>
      </w:pPr>
      <w:r>
        <w:rPr>
          <w:lang w:val="en-GB"/>
        </w:rPr>
        <w:t xml:space="preserve">Run the main script </w:t>
      </w:r>
      <w:proofErr w:type="spellStart"/>
      <w:r>
        <w:rPr>
          <w:lang w:val="en-GB"/>
        </w:rPr>
        <w:t>BMOCSmainloop_alone.m</w:t>
      </w:r>
      <w:proofErr w:type="spellEnd"/>
    </w:p>
    <w:p w:rsidR="001B075E" w:rsidRPr="00FE320E" w:rsidRDefault="001B075E" w:rsidP="00FE320E">
      <w:pPr>
        <w:rPr>
          <w:lang w:val="en-GB"/>
        </w:rPr>
      </w:pPr>
    </w:p>
    <w:p w:rsidR="00FE320E" w:rsidRDefault="00FE320E" w:rsidP="00FE320E">
      <w:pPr>
        <w:pStyle w:val="Listenabsatz"/>
        <w:numPr>
          <w:ilvl w:val="0"/>
          <w:numId w:val="1"/>
        </w:numPr>
        <w:rPr>
          <w:lang w:val="en-GB"/>
        </w:rPr>
      </w:pPr>
      <w:r>
        <w:rPr>
          <w:lang w:val="en-GB"/>
        </w:rPr>
        <w:t>List of functions</w:t>
      </w:r>
    </w:p>
    <w:tbl>
      <w:tblPr>
        <w:tblStyle w:val="Tabellenraster"/>
        <w:tblW w:w="0" w:type="auto"/>
        <w:tblLook w:val="04A0" w:firstRow="1" w:lastRow="0" w:firstColumn="1" w:lastColumn="0" w:noHBand="0" w:noVBand="1"/>
      </w:tblPr>
      <w:tblGrid>
        <w:gridCol w:w="4531"/>
        <w:gridCol w:w="4531"/>
      </w:tblGrid>
      <w:tr w:rsidR="007C3946" w:rsidRPr="00CE634F" w:rsidTr="007C3946">
        <w:tc>
          <w:tcPr>
            <w:tcW w:w="4531" w:type="dxa"/>
          </w:tcPr>
          <w:p w:rsidR="007C3946" w:rsidRDefault="007C3946" w:rsidP="001B075E">
            <w:pPr>
              <w:rPr>
                <w:lang w:val="en-GB"/>
              </w:rPr>
            </w:pPr>
            <w:proofErr w:type="spellStart"/>
            <w:r>
              <w:rPr>
                <w:lang w:val="en-GB"/>
              </w:rPr>
              <w:t>BMOCSmainloop</w:t>
            </w:r>
            <w:r w:rsidR="008A09E6">
              <w:rPr>
                <w:lang w:val="en-GB"/>
              </w:rPr>
              <w:t>_alone</w:t>
            </w:r>
            <w:r>
              <w:rPr>
                <w:lang w:val="en-GB"/>
              </w:rPr>
              <w:t>.m</w:t>
            </w:r>
            <w:proofErr w:type="spellEnd"/>
          </w:p>
        </w:tc>
        <w:tc>
          <w:tcPr>
            <w:tcW w:w="4531" w:type="dxa"/>
          </w:tcPr>
          <w:p w:rsidR="007C3946" w:rsidRDefault="007C3946" w:rsidP="001B075E">
            <w:pPr>
              <w:rPr>
                <w:lang w:val="en-GB"/>
              </w:rPr>
            </w:pPr>
            <w:r>
              <w:rPr>
                <w:lang w:val="en-GB"/>
              </w:rPr>
              <w:t>Main loop for box model, run this script which calls all other functions</w:t>
            </w:r>
          </w:p>
        </w:tc>
      </w:tr>
      <w:tr w:rsidR="00A027B6" w:rsidTr="00A027B6">
        <w:tc>
          <w:tcPr>
            <w:tcW w:w="9062" w:type="dxa"/>
            <w:gridSpan w:val="2"/>
            <w:shd w:val="clear" w:color="auto" w:fill="BFBFBF" w:themeFill="background1" w:themeFillShade="BF"/>
          </w:tcPr>
          <w:p w:rsidR="00A027B6" w:rsidRDefault="00A027B6" w:rsidP="00A027B6">
            <w:pPr>
              <w:jc w:val="center"/>
              <w:rPr>
                <w:lang w:val="en-GB"/>
              </w:rPr>
            </w:pPr>
            <w:r>
              <w:rPr>
                <w:lang w:val="en-GB"/>
              </w:rPr>
              <w:t>Initialisation</w:t>
            </w:r>
          </w:p>
        </w:tc>
      </w:tr>
      <w:tr w:rsidR="007C3946" w:rsidRPr="00CE634F" w:rsidTr="007C3946">
        <w:tc>
          <w:tcPr>
            <w:tcW w:w="4531" w:type="dxa"/>
          </w:tcPr>
          <w:p w:rsidR="007C3946" w:rsidRDefault="00A027B6" w:rsidP="001B075E">
            <w:pPr>
              <w:rPr>
                <w:lang w:val="en-GB"/>
              </w:rPr>
            </w:pPr>
            <w:r>
              <w:rPr>
                <w:lang w:val="en-GB"/>
              </w:rPr>
              <w:t>loadin_2D.m</w:t>
            </w:r>
          </w:p>
        </w:tc>
        <w:tc>
          <w:tcPr>
            <w:tcW w:w="4531" w:type="dxa"/>
          </w:tcPr>
          <w:p w:rsidR="007C3946" w:rsidRDefault="00A027B6" w:rsidP="001B075E">
            <w:pPr>
              <w:rPr>
                <w:lang w:val="en-GB"/>
              </w:rPr>
            </w:pPr>
            <w:r>
              <w:rPr>
                <w:lang w:val="en-GB"/>
              </w:rPr>
              <w:t>loads the forcing data, i.e. air mixing ratio, latitude, longitude, mixed layer depth, pH, salinity, acdom350, pressure, sea surface temperature, wind speed, shortwave radiation, substitutes filling values</w:t>
            </w:r>
          </w:p>
        </w:tc>
      </w:tr>
      <w:tr w:rsidR="007C3946" w:rsidRPr="00CE634F" w:rsidTr="007C3946">
        <w:tc>
          <w:tcPr>
            <w:tcW w:w="4531" w:type="dxa"/>
          </w:tcPr>
          <w:p w:rsidR="007C3946" w:rsidRDefault="00A027B6" w:rsidP="001B075E">
            <w:pPr>
              <w:rPr>
                <w:lang w:val="en-GB"/>
              </w:rPr>
            </w:pPr>
            <w:r>
              <w:rPr>
                <w:lang w:val="en-GB"/>
              </w:rPr>
              <w:t>init_2Dinterp.m</w:t>
            </w:r>
          </w:p>
        </w:tc>
        <w:tc>
          <w:tcPr>
            <w:tcW w:w="4531" w:type="dxa"/>
          </w:tcPr>
          <w:p w:rsidR="007C3946" w:rsidRDefault="00A027B6" w:rsidP="001B075E">
            <w:pPr>
              <w:rPr>
                <w:lang w:val="en-GB"/>
              </w:rPr>
            </w:pPr>
            <w:r>
              <w:rPr>
                <w:lang w:val="en-GB"/>
              </w:rPr>
              <w:t>Interpolates to model grid (only temporally, not –yet- spatially!)</w:t>
            </w:r>
          </w:p>
        </w:tc>
      </w:tr>
      <w:tr w:rsidR="00A027B6" w:rsidTr="00A027B6">
        <w:tc>
          <w:tcPr>
            <w:tcW w:w="9062" w:type="dxa"/>
            <w:gridSpan w:val="2"/>
            <w:shd w:val="clear" w:color="auto" w:fill="BFBFBF" w:themeFill="background1" w:themeFillShade="BF"/>
          </w:tcPr>
          <w:p w:rsidR="00A027B6" w:rsidRDefault="00A027B6" w:rsidP="00A027B6">
            <w:pPr>
              <w:jc w:val="center"/>
              <w:rPr>
                <w:lang w:val="en-GB"/>
              </w:rPr>
            </w:pPr>
            <w:r>
              <w:rPr>
                <w:lang w:val="en-GB"/>
              </w:rPr>
              <w:t>Main functions for processes</w:t>
            </w:r>
          </w:p>
        </w:tc>
      </w:tr>
      <w:tr w:rsidR="00A027B6" w:rsidRPr="00CE634F" w:rsidTr="007C3946">
        <w:tc>
          <w:tcPr>
            <w:tcW w:w="4531" w:type="dxa"/>
          </w:tcPr>
          <w:p w:rsidR="00A027B6" w:rsidRDefault="00A027B6" w:rsidP="001B075E">
            <w:pPr>
              <w:rPr>
                <w:lang w:val="en-GB"/>
              </w:rPr>
            </w:pPr>
            <w:proofErr w:type="spellStart"/>
            <w:r>
              <w:rPr>
                <w:lang w:val="en-GB"/>
              </w:rPr>
              <w:t>calcphotoproduction.m</w:t>
            </w:r>
            <w:proofErr w:type="spellEnd"/>
          </w:p>
        </w:tc>
        <w:tc>
          <w:tcPr>
            <w:tcW w:w="4531" w:type="dxa"/>
          </w:tcPr>
          <w:p w:rsidR="00A027B6" w:rsidRDefault="00A027B6" w:rsidP="001B075E">
            <w:pPr>
              <w:rPr>
                <w:lang w:val="en-GB"/>
              </w:rPr>
            </w:pPr>
            <w:r>
              <w:rPr>
                <w:lang w:val="en-GB"/>
              </w:rPr>
              <w:t xml:space="preserve">Calculates photochemical production of OCS in seawater, based on </w:t>
            </w:r>
            <w:r w:rsidR="00C67E43">
              <w:rPr>
                <w:lang w:val="en-GB"/>
              </w:rPr>
              <w:t xml:space="preserve">the light field (under the surface, attenuated at wavelength 350nm). The </w:t>
            </w:r>
            <w:proofErr w:type="spellStart"/>
            <w:r w:rsidR="00C67E43">
              <w:rPr>
                <w:lang w:val="en-GB"/>
              </w:rPr>
              <w:t>photoproduction</w:t>
            </w:r>
            <w:proofErr w:type="spellEnd"/>
            <w:r w:rsidR="00C67E43">
              <w:rPr>
                <w:lang w:val="en-GB"/>
              </w:rPr>
              <w:t xml:space="preserve"> rate constant is scaled with an empirical function using the absorption coefficient of CDOM at 350nm.</w:t>
            </w:r>
          </w:p>
        </w:tc>
      </w:tr>
      <w:tr w:rsidR="00A027B6" w:rsidRPr="00CE634F" w:rsidTr="007C3946">
        <w:tc>
          <w:tcPr>
            <w:tcW w:w="4531" w:type="dxa"/>
          </w:tcPr>
          <w:p w:rsidR="00A027B6" w:rsidRDefault="00A027B6" w:rsidP="00A027B6">
            <w:pPr>
              <w:rPr>
                <w:lang w:val="en-GB"/>
              </w:rPr>
            </w:pPr>
            <w:proofErr w:type="spellStart"/>
            <w:r>
              <w:rPr>
                <w:lang w:val="en-GB"/>
              </w:rPr>
              <w:t>calcdarkproduction.m</w:t>
            </w:r>
            <w:proofErr w:type="spellEnd"/>
          </w:p>
        </w:tc>
        <w:tc>
          <w:tcPr>
            <w:tcW w:w="4531" w:type="dxa"/>
          </w:tcPr>
          <w:p w:rsidR="00A027B6" w:rsidRDefault="00C67E43" w:rsidP="00A027B6">
            <w:pPr>
              <w:rPr>
                <w:lang w:val="en-GB"/>
              </w:rPr>
            </w:pPr>
            <w:r>
              <w:rPr>
                <w:lang w:val="en-GB"/>
              </w:rPr>
              <w:t xml:space="preserve">Calculates dark production based on temperature and acdom350. Choice between two parameterizations possible, i.e. von Hobe et al., 2003, and </w:t>
            </w:r>
            <w:proofErr w:type="spellStart"/>
            <w:r>
              <w:rPr>
                <w:lang w:val="en-GB"/>
              </w:rPr>
              <w:t>Lennartz</w:t>
            </w:r>
            <w:proofErr w:type="spellEnd"/>
            <w:r>
              <w:rPr>
                <w:lang w:val="en-GB"/>
              </w:rPr>
              <w:t xml:space="preserve"> et al., 2019</w:t>
            </w:r>
          </w:p>
        </w:tc>
      </w:tr>
      <w:tr w:rsidR="00A027B6" w:rsidRPr="00CE634F" w:rsidTr="007C3946">
        <w:tc>
          <w:tcPr>
            <w:tcW w:w="4531" w:type="dxa"/>
          </w:tcPr>
          <w:p w:rsidR="00A027B6" w:rsidRDefault="00A027B6" w:rsidP="00A027B6">
            <w:pPr>
              <w:rPr>
                <w:lang w:val="en-GB"/>
              </w:rPr>
            </w:pPr>
            <w:proofErr w:type="spellStart"/>
            <w:r>
              <w:rPr>
                <w:lang w:val="en-GB"/>
              </w:rPr>
              <w:lastRenderedPageBreak/>
              <w:t>calchydrolysis.m</w:t>
            </w:r>
            <w:proofErr w:type="spellEnd"/>
          </w:p>
        </w:tc>
        <w:tc>
          <w:tcPr>
            <w:tcW w:w="4531" w:type="dxa"/>
          </w:tcPr>
          <w:p w:rsidR="00A027B6" w:rsidRDefault="00C67E43" w:rsidP="00A027B6">
            <w:pPr>
              <w:rPr>
                <w:lang w:val="en-GB"/>
              </w:rPr>
            </w:pPr>
            <w:r>
              <w:rPr>
                <w:lang w:val="en-GB"/>
              </w:rPr>
              <w:t xml:space="preserve">Calculates hydrolysis based on temperature, salinity and </w:t>
            </w:r>
            <w:proofErr w:type="spellStart"/>
            <w:r>
              <w:rPr>
                <w:lang w:val="en-GB"/>
              </w:rPr>
              <w:t>pH.</w:t>
            </w:r>
            <w:proofErr w:type="spellEnd"/>
            <w:r>
              <w:rPr>
                <w:lang w:val="en-GB"/>
              </w:rPr>
              <w:t xml:space="preserve"> Choice between two parameterizations, i.e. Elliott 1989, and Radford-</w:t>
            </w:r>
            <w:proofErr w:type="spellStart"/>
            <w:r>
              <w:rPr>
                <w:lang w:val="en-GB"/>
              </w:rPr>
              <w:t>Knoery</w:t>
            </w:r>
            <w:proofErr w:type="spellEnd"/>
            <w:r>
              <w:rPr>
                <w:lang w:val="en-GB"/>
              </w:rPr>
              <w:t xml:space="preserve"> and Cutter, 1994</w:t>
            </w:r>
          </w:p>
        </w:tc>
      </w:tr>
      <w:tr w:rsidR="00A027B6" w:rsidRPr="00CE634F" w:rsidTr="007C3946">
        <w:tc>
          <w:tcPr>
            <w:tcW w:w="4531" w:type="dxa"/>
          </w:tcPr>
          <w:p w:rsidR="00A027B6" w:rsidRDefault="00A027B6" w:rsidP="00A027B6">
            <w:pPr>
              <w:rPr>
                <w:lang w:val="en-GB"/>
              </w:rPr>
            </w:pPr>
            <w:proofErr w:type="spellStart"/>
            <w:r>
              <w:rPr>
                <w:lang w:val="en-GB"/>
              </w:rPr>
              <w:t>calcairseaexchange.m</w:t>
            </w:r>
            <w:proofErr w:type="spellEnd"/>
          </w:p>
        </w:tc>
        <w:tc>
          <w:tcPr>
            <w:tcW w:w="4531" w:type="dxa"/>
          </w:tcPr>
          <w:p w:rsidR="00A027B6" w:rsidRDefault="00C67E43" w:rsidP="00A027B6">
            <w:pPr>
              <w:rPr>
                <w:lang w:val="en-GB"/>
              </w:rPr>
            </w:pPr>
            <w:r>
              <w:rPr>
                <w:lang w:val="en-GB"/>
              </w:rPr>
              <w:t xml:space="preserve">Calculates air sea exchange based on equilibrium concentration, air mixing ratio and a parameterization for transfer velocity based on wind speed. Choice between three wind speed parameterizations, i.e. </w:t>
            </w:r>
            <w:proofErr w:type="spellStart"/>
            <w:r>
              <w:rPr>
                <w:lang w:val="en-GB"/>
              </w:rPr>
              <w:t>Wanninkhof</w:t>
            </w:r>
            <w:proofErr w:type="spellEnd"/>
            <w:r>
              <w:rPr>
                <w:lang w:val="en-GB"/>
              </w:rPr>
              <w:t xml:space="preserve"> 1992, Nightingale 2000 and </w:t>
            </w:r>
            <w:proofErr w:type="spellStart"/>
            <w:r>
              <w:rPr>
                <w:lang w:val="en-GB"/>
              </w:rPr>
              <w:t>Ho</w:t>
            </w:r>
            <w:proofErr w:type="spellEnd"/>
            <w:r>
              <w:rPr>
                <w:lang w:val="en-GB"/>
              </w:rPr>
              <w:t>, 2006</w:t>
            </w:r>
          </w:p>
        </w:tc>
      </w:tr>
      <w:tr w:rsidR="00A027B6" w:rsidTr="00A027B6">
        <w:tc>
          <w:tcPr>
            <w:tcW w:w="9062" w:type="dxa"/>
            <w:gridSpan w:val="2"/>
            <w:shd w:val="clear" w:color="auto" w:fill="BFBFBF" w:themeFill="background1" w:themeFillShade="BF"/>
          </w:tcPr>
          <w:p w:rsidR="00A027B6" w:rsidRDefault="00A027B6" w:rsidP="00A027B6">
            <w:pPr>
              <w:jc w:val="center"/>
              <w:rPr>
                <w:lang w:val="en-GB"/>
              </w:rPr>
            </w:pPr>
            <w:r>
              <w:rPr>
                <w:lang w:val="en-GB"/>
              </w:rPr>
              <w:t>Helper-functions</w:t>
            </w:r>
          </w:p>
        </w:tc>
      </w:tr>
      <w:tr w:rsidR="007C3946" w:rsidRPr="00CE634F" w:rsidTr="007C3946">
        <w:tc>
          <w:tcPr>
            <w:tcW w:w="4531" w:type="dxa"/>
          </w:tcPr>
          <w:p w:rsidR="007C3946" w:rsidRDefault="00A027B6" w:rsidP="001B075E">
            <w:pPr>
              <w:rPr>
                <w:lang w:val="en-GB"/>
              </w:rPr>
            </w:pPr>
            <w:proofErr w:type="spellStart"/>
            <w:r>
              <w:rPr>
                <w:lang w:val="en-GB"/>
              </w:rPr>
              <w:t>datetodoy.m</w:t>
            </w:r>
            <w:proofErr w:type="spellEnd"/>
          </w:p>
        </w:tc>
        <w:tc>
          <w:tcPr>
            <w:tcW w:w="4531" w:type="dxa"/>
          </w:tcPr>
          <w:p w:rsidR="007C3946" w:rsidRDefault="00C67E43" w:rsidP="001B075E">
            <w:pPr>
              <w:rPr>
                <w:lang w:val="en-GB"/>
              </w:rPr>
            </w:pPr>
            <w:r>
              <w:rPr>
                <w:lang w:val="en-GB"/>
              </w:rPr>
              <w:t>Calculates the actual date based on day of year</w:t>
            </w:r>
          </w:p>
        </w:tc>
      </w:tr>
      <w:tr w:rsidR="007C3946" w:rsidRPr="00CE634F" w:rsidTr="007C3946">
        <w:tc>
          <w:tcPr>
            <w:tcW w:w="4531" w:type="dxa"/>
          </w:tcPr>
          <w:p w:rsidR="007C3946" w:rsidRDefault="00A027B6" w:rsidP="001B075E">
            <w:pPr>
              <w:rPr>
                <w:lang w:val="en-GB"/>
              </w:rPr>
            </w:pPr>
            <w:proofErr w:type="spellStart"/>
            <w:r>
              <w:rPr>
                <w:lang w:val="en-GB"/>
              </w:rPr>
              <w:t>zencalc.m</w:t>
            </w:r>
            <w:proofErr w:type="spellEnd"/>
          </w:p>
        </w:tc>
        <w:tc>
          <w:tcPr>
            <w:tcW w:w="4531" w:type="dxa"/>
          </w:tcPr>
          <w:p w:rsidR="007C3946" w:rsidRDefault="00C67E43" w:rsidP="001B075E">
            <w:pPr>
              <w:rPr>
                <w:lang w:val="en-GB"/>
              </w:rPr>
            </w:pPr>
            <w:r>
              <w:rPr>
                <w:lang w:val="en-GB"/>
              </w:rPr>
              <w:t>Calculates the zenith based on latitude, longitude and day of year (Julian day)</w:t>
            </w:r>
          </w:p>
        </w:tc>
      </w:tr>
      <w:tr w:rsidR="007C3946" w:rsidRPr="00CE634F" w:rsidTr="007C3946">
        <w:tc>
          <w:tcPr>
            <w:tcW w:w="4531" w:type="dxa"/>
          </w:tcPr>
          <w:p w:rsidR="007C3946" w:rsidRDefault="00A027B6" w:rsidP="001B075E">
            <w:pPr>
              <w:rPr>
                <w:lang w:val="en-GB"/>
              </w:rPr>
            </w:pPr>
            <w:r>
              <w:rPr>
                <w:lang w:val="en-GB"/>
              </w:rPr>
              <w:t>uvuw0.m</w:t>
            </w:r>
          </w:p>
        </w:tc>
        <w:tc>
          <w:tcPr>
            <w:tcW w:w="4531" w:type="dxa"/>
          </w:tcPr>
          <w:p w:rsidR="007C3946" w:rsidRDefault="00C67E43" w:rsidP="001B075E">
            <w:pPr>
              <w:rPr>
                <w:lang w:val="en-GB"/>
              </w:rPr>
            </w:pPr>
            <w:r>
              <w:rPr>
                <w:lang w:val="en-GB"/>
              </w:rPr>
              <w:t>Calculates UV radiation under the sea surface</w:t>
            </w:r>
          </w:p>
        </w:tc>
      </w:tr>
      <w:tr w:rsidR="007C3946" w:rsidRPr="00CE634F" w:rsidTr="007C3946">
        <w:tc>
          <w:tcPr>
            <w:tcW w:w="4531" w:type="dxa"/>
          </w:tcPr>
          <w:p w:rsidR="007C3946" w:rsidRDefault="00A027B6" w:rsidP="001B075E">
            <w:pPr>
              <w:rPr>
                <w:lang w:val="en-GB"/>
              </w:rPr>
            </w:pPr>
            <w:proofErr w:type="spellStart"/>
            <w:r>
              <w:rPr>
                <w:lang w:val="en-GB"/>
              </w:rPr>
              <w:t>fd.m</w:t>
            </w:r>
            <w:proofErr w:type="spellEnd"/>
          </w:p>
        </w:tc>
        <w:tc>
          <w:tcPr>
            <w:tcW w:w="4531" w:type="dxa"/>
          </w:tcPr>
          <w:p w:rsidR="007C3946" w:rsidRDefault="007535A7" w:rsidP="001B075E">
            <w:pPr>
              <w:rPr>
                <w:lang w:val="en-GB"/>
              </w:rPr>
            </w:pPr>
            <w:r>
              <w:rPr>
                <w:lang w:val="en-GB"/>
              </w:rPr>
              <w:t>Calculates FD part of direct UV radiation</w:t>
            </w:r>
          </w:p>
        </w:tc>
      </w:tr>
      <w:tr w:rsidR="00A027B6" w:rsidRPr="00CE634F" w:rsidTr="007C3946">
        <w:tc>
          <w:tcPr>
            <w:tcW w:w="4531" w:type="dxa"/>
          </w:tcPr>
          <w:p w:rsidR="00A027B6" w:rsidRDefault="00A027B6" w:rsidP="001B075E">
            <w:pPr>
              <w:rPr>
                <w:lang w:val="en-GB"/>
              </w:rPr>
            </w:pPr>
            <w:proofErr w:type="spellStart"/>
            <w:r>
              <w:rPr>
                <w:lang w:val="en-GB"/>
              </w:rPr>
              <w:t>afreshn.m</w:t>
            </w:r>
            <w:proofErr w:type="spellEnd"/>
          </w:p>
        </w:tc>
        <w:tc>
          <w:tcPr>
            <w:tcW w:w="4531" w:type="dxa"/>
          </w:tcPr>
          <w:p w:rsidR="007535A7" w:rsidRPr="007535A7" w:rsidRDefault="007535A7" w:rsidP="007535A7">
            <w:pPr>
              <w:pStyle w:val="KeinLeerraum"/>
              <w:rPr>
                <w:sz w:val="24"/>
                <w:szCs w:val="24"/>
                <w:lang w:val="en-GB"/>
              </w:rPr>
            </w:pPr>
            <w:r w:rsidRPr="007535A7">
              <w:rPr>
                <w:lang w:val="en-GB"/>
              </w:rPr>
              <w:t xml:space="preserve">calculates </w:t>
            </w:r>
            <w:proofErr w:type="spellStart"/>
            <w:r w:rsidRPr="007535A7">
              <w:rPr>
                <w:lang w:val="en-GB"/>
              </w:rPr>
              <w:t>freshnel</w:t>
            </w:r>
            <w:proofErr w:type="spellEnd"/>
            <w:r w:rsidRPr="007535A7">
              <w:rPr>
                <w:lang w:val="en-GB"/>
              </w:rPr>
              <w:t xml:space="preserve"> albedo for </w:t>
            </w:r>
          </w:p>
          <w:p w:rsidR="007535A7" w:rsidRDefault="007535A7" w:rsidP="007535A7">
            <w:pPr>
              <w:pStyle w:val="KeinLeerraum"/>
              <w:rPr>
                <w:lang w:val="en-GB"/>
              </w:rPr>
            </w:pPr>
            <w:r w:rsidRPr="007535A7">
              <w:rPr>
                <w:lang w:val="en-GB"/>
              </w:rPr>
              <w:t xml:space="preserve">directly incident light. </w:t>
            </w:r>
          </w:p>
        </w:tc>
      </w:tr>
      <w:tr w:rsidR="00A027B6" w:rsidRPr="00CE634F" w:rsidTr="007C3946">
        <w:tc>
          <w:tcPr>
            <w:tcW w:w="4531" w:type="dxa"/>
          </w:tcPr>
          <w:p w:rsidR="00A027B6" w:rsidRDefault="00A027B6" w:rsidP="001B075E">
            <w:pPr>
              <w:rPr>
                <w:lang w:val="en-GB"/>
              </w:rPr>
            </w:pPr>
            <w:proofErr w:type="spellStart"/>
            <w:r>
              <w:rPr>
                <w:lang w:val="en-GB"/>
              </w:rPr>
              <w:t>adiffuse.m</w:t>
            </w:r>
            <w:proofErr w:type="spellEnd"/>
          </w:p>
        </w:tc>
        <w:tc>
          <w:tcPr>
            <w:tcW w:w="4531" w:type="dxa"/>
          </w:tcPr>
          <w:p w:rsidR="00A027B6" w:rsidRDefault="007535A7" w:rsidP="007535A7">
            <w:pPr>
              <w:pStyle w:val="KeinLeerraum"/>
              <w:rPr>
                <w:lang w:val="en-GB"/>
              </w:rPr>
            </w:pPr>
            <w:r w:rsidRPr="007535A7">
              <w:rPr>
                <w:lang w:val="en-GB"/>
              </w:rPr>
              <w:t>calculates albedo for diffuse incident light</w:t>
            </w:r>
            <w:r>
              <w:rPr>
                <w:lang w:val="en-GB"/>
              </w:rPr>
              <w:t xml:space="preserve"> </w:t>
            </w:r>
          </w:p>
        </w:tc>
      </w:tr>
      <w:tr w:rsidR="00A027B6" w:rsidRPr="00CE634F" w:rsidTr="007C3946">
        <w:tc>
          <w:tcPr>
            <w:tcW w:w="4531" w:type="dxa"/>
          </w:tcPr>
          <w:p w:rsidR="00A027B6" w:rsidRDefault="00A027B6" w:rsidP="001B075E">
            <w:pPr>
              <w:rPr>
                <w:lang w:val="en-GB"/>
              </w:rPr>
            </w:pPr>
            <w:proofErr w:type="spellStart"/>
            <w:r>
              <w:rPr>
                <w:lang w:val="en-GB"/>
              </w:rPr>
              <w:t>schmidt.m</w:t>
            </w:r>
            <w:proofErr w:type="spellEnd"/>
          </w:p>
        </w:tc>
        <w:tc>
          <w:tcPr>
            <w:tcW w:w="4531" w:type="dxa"/>
          </w:tcPr>
          <w:p w:rsidR="00A027B6" w:rsidRDefault="00C67E43" w:rsidP="001B075E">
            <w:pPr>
              <w:rPr>
                <w:lang w:val="en-GB"/>
              </w:rPr>
            </w:pPr>
            <w:r>
              <w:rPr>
                <w:lang w:val="en-GB"/>
              </w:rPr>
              <w:t>Calculates the Schmidt number to correct the gas transfer velocity parameterization</w:t>
            </w:r>
          </w:p>
        </w:tc>
      </w:tr>
      <w:tr w:rsidR="00A027B6" w:rsidTr="007C3946">
        <w:tc>
          <w:tcPr>
            <w:tcW w:w="4531" w:type="dxa"/>
          </w:tcPr>
          <w:p w:rsidR="00A027B6" w:rsidRDefault="00A027B6" w:rsidP="001B075E">
            <w:pPr>
              <w:rPr>
                <w:lang w:val="en-GB"/>
              </w:rPr>
            </w:pPr>
            <w:proofErr w:type="spellStart"/>
            <w:r>
              <w:rPr>
                <w:lang w:val="en-GB"/>
              </w:rPr>
              <w:t>kinvis.m</w:t>
            </w:r>
            <w:proofErr w:type="spellEnd"/>
          </w:p>
        </w:tc>
        <w:tc>
          <w:tcPr>
            <w:tcW w:w="4531" w:type="dxa"/>
          </w:tcPr>
          <w:p w:rsidR="00A027B6" w:rsidRDefault="00C67E43" w:rsidP="001B075E">
            <w:pPr>
              <w:rPr>
                <w:lang w:val="en-GB"/>
              </w:rPr>
            </w:pPr>
            <w:r>
              <w:rPr>
                <w:lang w:val="en-GB"/>
              </w:rPr>
              <w:t>Calculates kinematic viscosity</w:t>
            </w:r>
          </w:p>
        </w:tc>
      </w:tr>
      <w:tr w:rsidR="00A027B6" w:rsidTr="007C3946">
        <w:tc>
          <w:tcPr>
            <w:tcW w:w="4531" w:type="dxa"/>
          </w:tcPr>
          <w:p w:rsidR="00A027B6" w:rsidRDefault="00A027B6" w:rsidP="001B075E">
            <w:pPr>
              <w:rPr>
                <w:lang w:val="en-GB"/>
              </w:rPr>
            </w:pPr>
            <w:proofErr w:type="spellStart"/>
            <w:r>
              <w:rPr>
                <w:lang w:val="en-GB"/>
              </w:rPr>
              <w:t>dynvis.m</w:t>
            </w:r>
            <w:proofErr w:type="spellEnd"/>
          </w:p>
        </w:tc>
        <w:tc>
          <w:tcPr>
            <w:tcW w:w="4531" w:type="dxa"/>
          </w:tcPr>
          <w:p w:rsidR="00A027B6" w:rsidRDefault="00C67E43" w:rsidP="001B075E">
            <w:pPr>
              <w:rPr>
                <w:lang w:val="en-GB"/>
              </w:rPr>
            </w:pPr>
            <w:r>
              <w:rPr>
                <w:lang w:val="en-GB"/>
              </w:rPr>
              <w:t>Calculates dynamic viscosity</w:t>
            </w:r>
          </w:p>
        </w:tc>
      </w:tr>
      <w:tr w:rsidR="00A027B6" w:rsidRPr="00CE634F" w:rsidTr="007C3946">
        <w:tc>
          <w:tcPr>
            <w:tcW w:w="4531" w:type="dxa"/>
          </w:tcPr>
          <w:p w:rsidR="00A027B6" w:rsidRDefault="00A027B6" w:rsidP="001B075E">
            <w:pPr>
              <w:rPr>
                <w:lang w:val="en-GB"/>
              </w:rPr>
            </w:pPr>
            <w:proofErr w:type="spellStart"/>
            <w:r>
              <w:rPr>
                <w:lang w:val="en-GB"/>
              </w:rPr>
              <w:t>volchlor.m</w:t>
            </w:r>
            <w:proofErr w:type="spellEnd"/>
          </w:p>
        </w:tc>
        <w:tc>
          <w:tcPr>
            <w:tcW w:w="4531" w:type="dxa"/>
          </w:tcPr>
          <w:p w:rsidR="00A027B6" w:rsidRDefault="00C67E43" w:rsidP="00C67E43">
            <w:pPr>
              <w:rPr>
                <w:lang w:val="en-GB"/>
              </w:rPr>
            </w:pPr>
            <w:r>
              <w:rPr>
                <w:lang w:val="en-GB"/>
              </w:rPr>
              <w:t xml:space="preserve">Calculates the molar volume of OCS </w:t>
            </w:r>
          </w:p>
        </w:tc>
      </w:tr>
      <w:tr w:rsidR="00A027B6" w:rsidTr="007C3946">
        <w:tc>
          <w:tcPr>
            <w:tcW w:w="4531" w:type="dxa"/>
          </w:tcPr>
          <w:p w:rsidR="00A027B6" w:rsidRDefault="00A027B6" w:rsidP="001B075E">
            <w:pPr>
              <w:rPr>
                <w:lang w:val="en-GB"/>
              </w:rPr>
            </w:pPr>
            <w:proofErr w:type="spellStart"/>
            <w:r>
              <w:rPr>
                <w:lang w:val="en-GB"/>
              </w:rPr>
              <w:t>density.m</w:t>
            </w:r>
            <w:proofErr w:type="spellEnd"/>
          </w:p>
        </w:tc>
        <w:tc>
          <w:tcPr>
            <w:tcW w:w="4531" w:type="dxa"/>
          </w:tcPr>
          <w:p w:rsidR="00A027B6" w:rsidRDefault="00C67E43" w:rsidP="001B075E">
            <w:pPr>
              <w:rPr>
                <w:lang w:val="en-GB"/>
              </w:rPr>
            </w:pPr>
            <w:r>
              <w:rPr>
                <w:lang w:val="en-GB"/>
              </w:rPr>
              <w:t>Calculates seawater density</w:t>
            </w:r>
          </w:p>
        </w:tc>
      </w:tr>
      <w:tr w:rsidR="00A027B6" w:rsidRPr="00CE634F" w:rsidTr="007C3946">
        <w:tc>
          <w:tcPr>
            <w:tcW w:w="4531" w:type="dxa"/>
          </w:tcPr>
          <w:p w:rsidR="00A027B6" w:rsidRDefault="00A027B6" w:rsidP="001B075E">
            <w:pPr>
              <w:rPr>
                <w:lang w:val="en-GB"/>
              </w:rPr>
            </w:pPr>
            <w:proofErr w:type="spellStart"/>
            <w:r>
              <w:rPr>
                <w:lang w:val="en-GB"/>
              </w:rPr>
              <w:t>difcoef.m</w:t>
            </w:r>
            <w:proofErr w:type="spellEnd"/>
          </w:p>
        </w:tc>
        <w:tc>
          <w:tcPr>
            <w:tcW w:w="4531" w:type="dxa"/>
          </w:tcPr>
          <w:p w:rsidR="00A027B6" w:rsidRDefault="00C67E43" w:rsidP="001B075E">
            <w:pPr>
              <w:rPr>
                <w:lang w:val="en-GB"/>
              </w:rPr>
            </w:pPr>
            <w:r>
              <w:rPr>
                <w:lang w:val="en-GB"/>
              </w:rPr>
              <w:t>Calculates the diffusion coefficient of OCS in seawater</w:t>
            </w:r>
          </w:p>
        </w:tc>
      </w:tr>
      <w:tr w:rsidR="00A027B6" w:rsidRPr="00CE634F" w:rsidTr="007C3946">
        <w:tc>
          <w:tcPr>
            <w:tcW w:w="4531" w:type="dxa"/>
          </w:tcPr>
          <w:p w:rsidR="00A027B6" w:rsidRDefault="00A027B6" w:rsidP="001B075E">
            <w:pPr>
              <w:rPr>
                <w:lang w:val="en-GB"/>
              </w:rPr>
            </w:pPr>
            <w:proofErr w:type="spellStart"/>
            <w:r>
              <w:rPr>
                <w:lang w:val="en-GB"/>
              </w:rPr>
              <w:t>BMsave.m</w:t>
            </w:r>
            <w:proofErr w:type="spellEnd"/>
          </w:p>
        </w:tc>
        <w:tc>
          <w:tcPr>
            <w:tcW w:w="4531" w:type="dxa"/>
          </w:tcPr>
          <w:p w:rsidR="00A027B6" w:rsidRDefault="00C67E43" w:rsidP="001B075E">
            <w:pPr>
              <w:rPr>
                <w:lang w:val="en-GB"/>
              </w:rPr>
            </w:pPr>
            <w:r>
              <w:rPr>
                <w:lang w:val="en-GB"/>
              </w:rPr>
              <w:t xml:space="preserve">Saves the output in the current </w:t>
            </w:r>
            <w:r w:rsidR="007535A7">
              <w:rPr>
                <w:lang w:val="en-GB"/>
              </w:rPr>
              <w:t>loop for each month</w:t>
            </w:r>
          </w:p>
        </w:tc>
      </w:tr>
      <w:tr w:rsidR="00A027B6" w:rsidRPr="00CE634F" w:rsidTr="007C3946">
        <w:tc>
          <w:tcPr>
            <w:tcW w:w="4531" w:type="dxa"/>
          </w:tcPr>
          <w:p w:rsidR="00A027B6" w:rsidRDefault="00A027B6" w:rsidP="001B075E">
            <w:pPr>
              <w:rPr>
                <w:lang w:val="en-GB"/>
              </w:rPr>
            </w:pPr>
            <w:proofErr w:type="spellStart"/>
            <w:r>
              <w:rPr>
                <w:lang w:val="en-GB"/>
              </w:rPr>
              <w:t>SaveMonths.m</w:t>
            </w:r>
            <w:proofErr w:type="spellEnd"/>
          </w:p>
        </w:tc>
        <w:tc>
          <w:tcPr>
            <w:tcW w:w="4531" w:type="dxa"/>
          </w:tcPr>
          <w:p w:rsidR="00A027B6" w:rsidRDefault="007535A7" w:rsidP="001B075E">
            <w:pPr>
              <w:rPr>
                <w:lang w:val="en-GB"/>
              </w:rPr>
            </w:pPr>
            <w:r>
              <w:rPr>
                <w:lang w:val="en-GB"/>
              </w:rPr>
              <w:t>Saves output for each year</w:t>
            </w:r>
          </w:p>
        </w:tc>
      </w:tr>
    </w:tbl>
    <w:p w:rsidR="001B075E" w:rsidRPr="001B075E" w:rsidRDefault="001B075E" w:rsidP="001B075E">
      <w:pPr>
        <w:rPr>
          <w:lang w:val="en-GB"/>
        </w:rPr>
      </w:pPr>
    </w:p>
    <w:p w:rsidR="001B075E" w:rsidRDefault="001B075E" w:rsidP="00FE320E">
      <w:pPr>
        <w:pStyle w:val="Listenabsatz"/>
        <w:numPr>
          <w:ilvl w:val="0"/>
          <w:numId w:val="1"/>
        </w:numPr>
        <w:rPr>
          <w:lang w:val="en-GB"/>
        </w:rPr>
      </w:pPr>
      <w:r>
        <w:rPr>
          <w:lang w:val="en-GB"/>
        </w:rPr>
        <w:t>References</w:t>
      </w:r>
    </w:p>
    <w:p w:rsidR="001B075E" w:rsidRPr="00CE634F" w:rsidRDefault="001B075E" w:rsidP="001B075E">
      <w:pPr>
        <w:widowControl w:val="0"/>
        <w:autoSpaceDE w:val="0"/>
        <w:autoSpaceDN w:val="0"/>
        <w:adjustRightInd w:val="0"/>
        <w:spacing w:line="240" w:lineRule="auto"/>
        <w:rPr>
          <w:rFonts w:ascii="Calibri" w:hAnsi="Calibri" w:cs="Calibri"/>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CE634F">
        <w:rPr>
          <w:rFonts w:ascii="Calibri" w:hAnsi="Calibri" w:cs="Calibri"/>
          <w:noProof/>
          <w:szCs w:val="24"/>
          <w:lang w:val="en-GB"/>
        </w:rPr>
        <w:t>von Hobe, M., Najjar, R. G., Kettle, A. J. and Andreae, M. O.: Photochemical and physical modeling of carbonyl sulfide in the ocean, J. Geophys. Res., 108(C7), 3229, doi:10.1029/2000JC000712, 2003.</w:t>
      </w:r>
    </w:p>
    <w:p w:rsidR="001B075E" w:rsidRPr="00CE634F" w:rsidRDefault="001B075E" w:rsidP="001B075E">
      <w:pPr>
        <w:widowControl w:val="0"/>
        <w:autoSpaceDE w:val="0"/>
        <w:autoSpaceDN w:val="0"/>
        <w:adjustRightInd w:val="0"/>
        <w:spacing w:line="240" w:lineRule="auto"/>
        <w:rPr>
          <w:rFonts w:ascii="Calibri" w:hAnsi="Calibri" w:cs="Calibri"/>
          <w:noProof/>
          <w:szCs w:val="24"/>
          <w:lang w:val="en-GB"/>
        </w:rPr>
      </w:pPr>
      <w:r w:rsidRPr="00CE634F">
        <w:rPr>
          <w:rFonts w:ascii="Calibri" w:hAnsi="Calibri" w:cs="Calibri"/>
          <w:noProof/>
          <w:szCs w:val="24"/>
          <w:lang w:val="en-GB"/>
        </w:rPr>
        <w:t>Kettle, A. J.: Extrapolations of the Flux of Dimethylsulfide, Carbon Monoxide, Carbonyl Sulfide and Carbon Disulfide from the Oceans, York University., 2000.</w:t>
      </w:r>
    </w:p>
    <w:p w:rsidR="001B075E" w:rsidRPr="001B075E" w:rsidRDefault="001B075E" w:rsidP="001B075E">
      <w:pPr>
        <w:widowControl w:val="0"/>
        <w:autoSpaceDE w:val="0"/>
        <w:autoSpaceDN w:val="0"/>
        <w:adjustRightInd w:val="0"/>
        <w:spacing w:line="240" w:lineRule="auto"/>
        <w:rPr>
          <w:rFonts w:ascii="Calibri" w:hAnsi="Calibri" w:cs="Calibri"/>
          <w:noProof/>
        </w:rPr>
      </w:pPr>
      <w:r w:rsidRPr="00CE634F">
        <w:rPr>
          <w:rFonts w:ascii="Calibri" w:hAnsi="Calibri" w:cs="Calibri"/>
          <w:noProof/>
          <w:szCs w:val="24"/>
          <w:lang w:val="en-GB"/>
        </w:rPr>
        <w:t xml:space="preserve">Lennartz, S. T., Marandino, C. A., von Hobe, M., Cortes, P., Quack, B., Simo, R., Booge, D., Pozzer, A., Steinhoff, T., Arevalo-Martinez, D. L., Kloss, C., Bracher, A., Röttgers, R., Atlas, E. and Krüger, K.: Direct oceanic emissions unlikely to account for the missing source of atmospheric carbonyl sulfide, Atmos. </w:t>
      </w:r>
      <w:r w:rsidRPr="001B075E">
        <w:rPr>
          <w:rFonts w:ascii="Calibri" w:hAnsi="Calibri" w:cs="Calibri"/>
          <w:noProof/>
          <w:szCs w:val="24"/>
        </w:rPr>
        <w:t>Chem. Phys., 17(1), 385–402, doi:10.5194/acp-17-385-2017, 2017.</w:t>
      </w:r>
    </w:p>
    <w:p w:rsidR="001B075E" w:rsidRPr="001B075E" w:rsidRDefault="001B075E" w:rsidP="001B075E">
      <w:pPr>
        <w:rPr>
          <w:lang w:val="en-GB"/>
        </w:rPr>
      </w:pPr>
      <w:r>
        <w:rPr>
          <w:lang w:val="en-GB"/>
        </w:rPr>
        <w:fldChar w:fldCharType="end"/>
      </w:r>
    </w:p>
    <w:sectPr w:rsidR="001B075E" w:rsidRPr="001B07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442A3"/>
    <w:multiLevelType w:val="hybridMultilevel"/>
    <w:tmpl w:val="54A6EB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DF23BDB"/>
    <w:multiLevelType w:val="hybridMultilevel"/>
    <w:tmpl w:val="EF02A7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20E"/>
    <w:rsid w:val="001B075E"/>
    <w:rsid w:val="0035682A"/>
    <w:rsid w:val="0051606D"/>
    <w:rsid w:val="00603A1A"/>
    <w:rsid w:val="00604F0A"/>
    <w:rsid w:val="007535A7"/>
    <w:rsid w:val="007C0674"/>
    <w:rsid w:val="007C3946"/>
    <w:rsid w:val="008A09E6"/>
    <w:rsid w:val="009413EA"/>
    <w:rsid w:val="009A17D0"/>
    <w:rsid w:val="00A027B6"/>
    <w:rsid w:val="00C67E43"/>
    <w:rsid w:val="00CE634F"/>
    <w:rsid w:val="00FD099D"/>
    <w:rsid w:val="00FE32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C260"/>
  <w15:chartTrackingRefBased/>
  <w15:docId w15:val="{F9E84BF0-61F3-467B-B143-A65BB8F0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320E"/>
    <w:pPr>
      <w:ind w:left="720"/>
      <w:contextualSpacing/>
    </w:pPr>
  </w:style>
  <w:style w:type="table" w:styleId="Tabellenraster">
    <w:name w:val="Table Grid"/>
    <w:basedOn w:val="NormaleTabelle"/>
    <w:uiPriority w:val="39"/>
    <w:rsid w:val="007C3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7535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4D3DB-D529-4CDF-AD9A-6E1F46699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2206</Words>
  <Characters>13902</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7</cp:revision>
  <dcterms:created xsi:type="dcterms:W3CDTF">2020-11-27T14:13:00Z</dcterms:created>
  <dcterms:modified xsi:type="dcterms:W3CDTF">2020-11-29T22:19:00Z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http://www.zotero.org/styles/chicago-fullnote-bibliography</vt:lpwstr>
  </property>
  <property fmtid="{D5CDD505-2E9C-101B-9397-08002B2CF9AE}" pid="5" name="Mendeley Recent Style Name 1_1">
    <vt:lpwstr>Chicago Manual of Style 17th edition (full note)</vt:lpwstr>
  </property>
  <property fmtid="{D5CDD505-2E9C-101B-9397-08002B2CF9AE}" pid="6" name="Mendeley Recent Style Id 2_1">
    <vt:lpwstr>http://www.zotero.org/styles/copernicus-publications</vt:lpwstr>
  </property>
  <property fmtid="{D5CDD505-2E9C-101B-9397-08002B2CF9AE}" pid="7" name="Mendeley Recent Style Name 2_1">
    <vt:lpwstr>Copernicus Publications</vt:lpwstr>
  </property>
  <property fmtid="{D5CDD505-2E9C-101B-9397-08002B2CF9AE}" pid="8" name="Mendeley Recent Style Id 3_1">
    <vt:lpwstr>https://csl.mendeley.com/styles/556897211/copernicus-publications</vt:lpwstr>
  </property>
  <property fmtid="{D5CDD505-2E9C-101B-9397-08002B2CF9AE}" pid="9" name="Mendeley Recent Style Name 3_1">
    <vt:lpwstr>Copernicus Publications - Sinikka Lennartz</vt:lpwstr>
  </property>
  <property fmtid="{D5CDD505-2E9C-101B-9397-08002B2CF9AE}" pid="10" name="Mendeley Recent Style Id 4_1">
    <vt:lpwstr>http://csl.mendeley.com/styles/556897211/copernicus-publications-WB2</vt:lpwstr>
  </property>
  <property fmtid="{D5CDD505-2E9C-101B-9397-08002B2CF9AE}" pid="11" name="Mendeley Recent Style Name 4_1">
    <vt:lpwstr>Copernicus Publications - Sinikka Lennartz</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http://www.zotero.org/styles/limnology-and-oceanography</vt:lpwstr>
  </property>
  <property fmtid="{D5CDD505-2E9C-101B-9397-08002B2CF9AE}" pid="15" name="Mendeley Recent Style Name 6_1">
    <vt:lpwstr>Limnology and Oceanography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http://csl.mendeley.com/styles/556897211/science-nature4</vt:lpwstr>
  </property>
  <property fmtid="{D5CDD505-2E9C-101B-9397-08002B2CF9AE}" pid="21" name="Mendeley Recent Style Name 9_1">
    <vt:lpwstr>Science - Sinikka Lennartz</vt:lpwstr>
  </property>
  <property fmtid="{D5CDD505-2E9C-101B-9397-08002B2CF9AE}" pid="22" name="Mendeley Document_1">
    <vt:lpwstr>True</vt:lpwstr>
  </property>
  <property fmtid="{D5CDD505-2E9C-101B-9397-08002B2CF9AE}" pid="23" name="Mendeley Unique User Id_1">
    <vt:lpwstr>c66a84a3-5b95-31ff-8585-1103c274385e</vt:lpwstr>
  </property>
  <property fmtid="{D5CDD505-2E9C-101B-9397-08002B2CF9AE}" pid="24" name="Mendeley Citation Style_1">
    <vt:lpwstr>http://www.zotero.org/styles/copernicus-publications</vt:lpwstr>
  </property>
</Properties>
</file>