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833AF68" w14:textId="6AD376EA" w:rsidR="001F0D07" w:rsidRPr="001F0D07" w:rsidRDefault="001F0D07" w:rsidP="001F0D07">
      <w:pPr>
        <w:pStyle w:val="Resume-BulletText"/>
      </w:pPr>
      <w:r w:rsidRPr="001F0D07">
        <w:t xml:space="preserve">Leader in developing a QMS from scratch </w:t>
      </w:r>
      <w:r>
        <w:t xml:space="preserve">with stakeholder onboarding </w:t>
      </w:r>
      <w:r w:rsidRPr="001F0D07">
        <w:t>and getting it ISO certified.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5050D1F4" w14:textId="77777777" w:rsidR="001F0D07" w:rsidRDefault="001F0D07" w:rsidP="001F0D07">
      <w:pPr>
        <w:pStyle w:val="Resume-BulletText"/>
      </w:pPr>
      <w:r>
        <w:t xml:space="preserve">Lead and/or manage internal and external audits and their resulting correction plans. </w:t>
      </w:r>
    </w:p>
    <w:p w14:paraId="47935BD3" w14:textId="77777777" w:rsidR="001F0D07" w:rsidRDefault="001F0D07" w:rsidP="001F0D07">
      <w:pPr>
        <w:pStyle w:val="Resume-BulletText"/>
      </w:pPr>
      <w:r>
        <w:t>Lead the development of supplier management, oversight and engagement program.</w:t>
      </w:r>
    </w:p>
    <w:p w14:paraId="001BE650" w14:textId="12681F04" w:rsidR="00853D18" w:rsidRDefault="00853D18" w:rsidP="00853D18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48DB06C4" w14:textId="77777777" w:rsidR="00706AB2" w:rsidRDefault="00651BD4" w:rsidP="00706AB2">
      <w:pPr>
        <w:pStyle w:val="Resume-BulletText"/>
      </w:pPr>
      <w:r>
        <w:t>Developed a multi-year project plan to automate major aspects of manufacturing, data acquisition and synthesis</w:t>
      </w:r>
      <w:r w:rsidR="00706AB2" w:rsidRPr="00706AB2">
        <w:t xml:space="preserve"> </w:t>
      </w:r>
    </w:p>
    <w:p w14:paraId="22C81EEE" w14:textId="35C2F656" w:rsidR="0012712C" w:rsidRPr="00706AB2" w:rsidRDefault="00706AB2" w:rsidP="00C91753">
      <w:pPr>
        <w:pStyle w:val="Resume-BulletText"/>
        <w:rPr>
          <w:rFonts w:ascii="Symbol" w:hAnsi="Symbol"/>
          <w:szCs w:val="22"/>
          <w:lang w:val="en-US"/>
        </w:rPr>
      </w:pPr>
      <w:r w:rsidRPr="00706AB2">
        <w:t>Lead and oversee risk management initiatives for a high-risk medical device including identification, estimation risk assessment, mitigation and their verification using advanced tools such as FTA, FMEA, Markov Chain analysis, Monte Carlo simulations and design of experiments</w:t>
      </w:r>
      <w:r w:rsidR="00267DDF">
        <w:tab/>
      </w:r>
      <w:r w:rsidR="0012712C" w:rsidRPr="00706AB2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Acted as the sole project executer in developing and implementing a company-wide calibration program along with selection and management of service providers.</w:t>
      </w:r>
    </w:p>
    <w:p w14:paraId="0DEF0ED9" w14:textId="043E21CA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Coordinated with Director of Ultrasound Engineering (Manufacturing) to implement GMP and played a pivotal role in aligning the current operations to better position the company to obtain MDSAP and 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 xml:space="preserve">advanced </w:t>
      </w:r>
      <w:r w:rsidRPr="0012712C">
        <w:rPr>
          <w:lang w:val="en-US"/>
        </w:rPr>
        <w:lastRenderedPageBreak/>
        <w:t>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1F0D07"/>
    <w:rsid w:val="002016B3"/>
    <w:rsid w:val="00203E3C"/>
    <w:rsid w:val="00210CFB"/>
    <w:rsid w:val="002146A1"/>
    <w:rsid w:val="00225042"/>
    <w:rsid w:val="00227C4D"/>
    <w:rsid w:val="00267DDF"/>
    <w:rsid w:val="00275AEF"/>
    <w:rsid w:val="002779BD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37EC9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706AB2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65492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5</cp:revision>
  <cp:lastPrinted>2023-08-20T03:41:00Z</cp:lastPrinted>
  <dcterms:created xsi:type="dcterms:W3CDTF">2023-08-20T03:56:00Z</dcterms:created>
  <dcterms:modified xsi:type="dcterms:W3CDTF">2023-08-20T04:27:00Z</dcterms:modified>
</cp:coreProperties>
</file>