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700" w:after="100"/>
        <w:jc w:val="center"/>
        <w:rPr/>
      </w:pPr>
      <w:r>
        <w:rPr>
          <w:rFonts w:ascii="Aptos Display" w:hAnsi="Aptos Display"/>
          <w:b/>
          <w:color w:val="17365D"/>
          <w:sz w:val="54"/>
        </w:rPr>
        <w:t>SOFTWARE REQUIREMENTS</w:t>
        <w:br/>
        <w:t>SPECIFICATION</w:t>
      </w:r>
    </w:p>
    <w:p>
      <w:pPr>
        <w:pStyle w:val="Normal"/>
        <w:spacing w:before="360" w:after="100"/>
        <w:jc w:val="center"/>
        <w:rPr/>
      </w:pPr>
      <w:r>
        <w:rPr>
          <w:b/>
          <w:color w:val="2F5597"/>
          <w:sz w:val="42"/>
        </w:rPr>
        <w:t>Supply Chain Analytics Using Python</w:t>
      </w:r>
    </w:p>
    <w:p>
      <w:pPr>
        <w:pStyle w:val="Normal"/>
        <w:spacing w:before="100" w:after="100"/>
        <w:jc w:val="center"/>
        <w:rPr/>
      </w:pPr>
      <w:r>
        <w:rPr>
          <w:i/>
          <w:sz w:val="26"/>
        </w:rPr>
        <w:t>Inventory, Logistics Performance, and Demand Analysis</w:t>
      </w:r>
    </w:p>
    <w:p>
      <w:pPr>
        <w:pStyle w:val="Normal"/>
        <w:rPr/>
      </w:pPr>
      <w:r>
        <w:rPr/>
      </w:r>
    </w:p>
    <w:tbl>
      <w:tblPr>
        <w:tblStyle w:val="TableGrid"/>
        <w:tblW w:w="98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39"/>
        <w:gridCol w:w="4938"/>
      </w:tblGrid>
      <w:tr>
        <w:trPr>
          <w:cantSplit w:val="true"/>
        </w:trPr>
        <w:tc>
          <w:tcPr>
            <w:tcW w:w="4939" w:type="dxa"/>
            <w:tcBorders/>
            <w:shd w:fill="D9EAF7"/>
            <w:vAlign w:val="center"/>
          </w:tcPr>
          <w:p>
            <w:pPr>
              <w:pStyle w:val="Normal"/>
              <w:widowControl/>
              <w:spacing w:before="20" w:after="20"/>
              <w:jc w:val="left"/>
              <w:rPr>
                <w:rFonts w:eastAsia="ＭＳ 明朝" w:cs=""/>
                <w:kern w:val="0"/>
                <w:szCs w:val="22"/>
                <w:lang w:val="en-US" w:eastAsia="en-US" w:bidi="ar-SA"/>
              </w:rPr>
            </w:pPr>
            <w:r>
              <w:rPr>
                <w:rFonts w:eastAsia="ＭＳ 明朝" w:cs=""/>
                <w:b/>
                <w:color w:val="17365D"/>
                <w:kern w:val="0"/>
                <w:sz w:val="20"/>
                <w:szCs w:val="22"/>
                <w:lang w:val="en-US" w:eastAsia="en-US" w:bidi="ar-SA"/>
              </w:rPr>
              <w:t>Dataset</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20"/>
                <w:szCs w:val="22"/>
                <w:lang w:val="en-US" w:eastAsia="en-US" w:bidi="ar-SA"/>
              </w:rPr>
              <w:t>DataCo SMART Supply Chain</w:t>
            </w:r>
          </w:p>
        </w:tc>
      </w:tr>
      <w:tr>
        <w:trPr>
          <w:cantSplit w:val="true"/>
        </w:trPr>
        <w:tc>
          <w:tcPr>
            <w:tcW w:w="4939" w:type="dxa"/>
            <w:tcBorders/>
            <w:shd w:fill="D9EAF7"/>
            <w:vAlign w:val="center"/>
          </w:tcPr>
          <w:p>
            <w:pPr>
              <w:pStyle w:val="Normal"/>
              <w:widowControl/>
              <w:spacing w:before="20" w:after="20"/>
              <w:jc w:val="left"/>
              <w:rPr>
                <w:rFonts w:eastAsia="ＭＳ 明朝" w:cs=""/>
                <w:kern w:val="0"/>
                <w:szCs w:val="22"/>
                <w:lang w:val="en-US" w:eastAsia="en-US" w:bidi="ar-SA"/>
              </w:rPr>
            </w:pPr>
            <w:r>
              <w:rPr>
                <w:rFonts w:eastAsia="ＭＳ 明朝" w:cs=""/>
                <w:b/>
                <w:color w:val="17365D"/>
                <w:kern w:val="0"/>
                <w:sz w:val="20"/>
                <w:szCs w:val="22"/>
                <w:lang w:val="en-US" w:eastAsia="en-US" w:bidi="ar-SA"/>
              </w:rPr>
              <w:t>Project Type</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20"/>
                <w:szCs w:val="22"/>
                <w:lang w:val="en-US" w:eastAsia="en-US" w:bidi="ar-SA"/>
              </w:rPr>
              <w:t>Data Analytics Project</w:t>
            </w:r>
          </w:p>
        </w:tc>
      </w:tr>
      <w:tr>
        <w:trPr>
          <w:cantSplit w:val="true"/>
        </w:trPr>
        <w:tc>
          <w:tcPr>
            <w:tcW w:w="4939" w:type="dxa"/>
            <w:tcBorders/>
            <w:shd w:fill="D9EAF7"/>
            <w:vAlign w:val="center"/>
          </w:tcPr>
          <w:p>
            <w:pPr>
              <w:pStyle w:val="Normal"/>
              <w:widowControl/>
              <w:spacing w:before="20" w:after="20"/>
              <w:jc w:val="left"/>
              <w:rPr>
                <w:rFonts w:eastAsia="ＭＳ 明朝" w:cs=""/>
                <w:kern w:val="0"/>
                <w:szCs w:val="22"/>
                <w:lang w:val="en-US" w:eastAsia="en-US" w:bidi="ar-SA"/>
              </w:rPr>
            </w:pPr>
            <w:r>
              <w:rPr>
                <w:rFonts w:eastAsia="ＭＳ 明朝" w:cs=""/>
                <w:b/>
                <w:color w:val="17365D"/>
                <w:kern w:val="0"/>
                <w:sz w:val="20"/>
                <w:szCs w:val="22"/>
                <w:lang w:val="en-US" w:eastAsia="en-US" w:bidi="ar-SA"/>
              </w:rPr>
              <w:t>Technology Scope</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20"/>
                <w:szCs w:val="22"/>
                <w:lang w:val="en-US" w:eastAsia="en-US" w:bidi="ar-SA"/>
              </w:rPr>
              <w:t>Python-based analytical workflow</w:t>
            </w:r>
          </w:p>
        </w:tc>
      </w:tr>
      <w:tr>
        <w:trPr>
          <w:cantSplit w:val="true"/>
        </w:trPr>
        <w:tc>
          <w:tcPr>
            <w:tcW w:w="4939" w:type="dxa"/>
            <w:tcBorders/>
            <w:shd w:fill="D9EAF7"/>
            <w:vAlign w:val="center"/>
          </w:tcPr>
          <w:p>
            <w:pPr>
              <w:pStyle w:val="Normal"/>
              <w:widowControl/>
              <w:spacing w:before="20" w:after="20"/>
              <w:jc w:val="left"/>
              <w:rPr>
                <w:rFonts w:eastAsia="ＭＳ 明朝" w:cs=""/>
                <w:kern w:val="0"/>
                <w:szCs w:val="22"/>
                <w:lang w:val="en-US" w:eastAsia="en-US" w:bidi="ar-SA"/>
              </w:rPr>
            </w:pPr>
            <w:r>
              <w:rPr>
                <w:rFonts w:eastAsia="ＭＳ 明朝" w:cs=""/>
                <w:b/>
                <w:color w:val="17365D"/>
                <w:kern w:val="0"/>
                <w:sz w:val="20"/>
                <w:szCs w:val="22"/>
                <w:lang w:val="en-US" w:eastAsia="en-US" w:bidi="ar-SA"/>
              </w:rPr>
              <w:t>Prepared Date</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20"/>
                <w:szCs w:val="22"/>
                <w:lang w:val="en-US" w:eastAsia="en-US" w:bidi="ar-SA"/>
              </w:rPr>
              <w:t>25 October 2026</w:t>
            </w:r>
          </w:p>
        </w:tc>
      </w:tr>
    </w:tbl>
    <w:p>
      <w:pPr>
        <w:pStyle w:val="Normal"/>
        <w:spacing w:before="1100" w:after="100"/>
        <w:jc w:val="center"/>
        <w:rPr>
          <w:i/>
          <w:i/>
          <w:color w:val="5A5A5A"/>
          <w:sz w:val="18"/>
        </w:rPr>
      </w:pPr>
      <w:r>
        <w:rPr/>
      </w:r>
    </w:p>
    <w:p>
      <w:pPr>
        <w:pStyle w:val="Normal"/>
        <w:rPr/>
      </w:pPr>
      <w:r>
        <w:rPr/>
      </w:r>
      <w:r>
        <w:br w:type="page"/>
      </w:r>
    </w:p>
    <w:p>
      <w:pPr>
        <w:pStyle w:val="Heading1"/>
        <w:rPr/>
      </w:pPr>
      <w:r>
        <w:rPr/>
        <w:t>Document Control</w:t>
      </w:r>
    </w:p>
    <w:tbl>
      <w:tblPr>
        <w:tblStyle w:val="TableGrid"/>
        <w:tblW w:w="987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38"/>
        <w:gridCol w:w="2469"/>
        <w:gridCol w:w="2468"/>
      </w:tblGrid>
      <w:tr>
        <w:trPr>
          <w:cantSplit w:val="true"/>
        </w:trPr>
        <w:tc>
          <w:tcPr>
            <w:tcW w:w="4938"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Date</w:t>
            </w:r>
          </w:p>
        </w:tc>
        <w:tc>
          <w:tcPr>
            <w:tcW w:w="2469"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Owner</w:t>
            </w:r>
          </w:p>
        </w:tc>
        <w:tc>
          <w:tcPr>
            <w:tcW w:w="2468"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cantSplit w:val="true"/>
        </w:trPr>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25 October 2026</w:t>
            </w:r>
          </w:p>
        </w:tc>
        <w:tc>
          <w:tcPr>
            <w:tcW w:w="246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Siniya V H</w:t>
            </w:r>
          </w:p>
        </w:tc>
        <w:tc>
          <w:tcPr>
            <w:tcW w:w="246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Python-focused SRS.</w:t>
            </w:r>
          </w:p>
        </w:tc>
      </w:tr>
    </w:tbl>
    <w:p>
      <w:pPr>
        <w:pStyle w:val="Normal"/>
        <w:spacing w:before="0" w:after="20"/>
        <w:rPr/>
      </w:pPr>
      <w:r>
        <w:rPr/>
      </w:r>
    </w:p>
    <w:p>
      <w:pPr>
        <w:pStyle w:val="Heading1"/>
        <w:rPr/>
      </w:pPr>
      <w:r>
        <w:rPr/>
        <w:t>Contents</w:t>
      </w:r>
    </w:p>
    <w:p>
      <w:pPr>
        <w:pStyle w:val="Normal"/>
        <w:rPr/>
      </w:pPr>
      <w:r>
        <w:rPr/>
        <w:t>1. Introduction</w:t>
      </w:r>
    </w:p>
    <w:p>
      <w:pPr>
        <w:pStyle w:val="Normal"/>
        <w:rPr/>
      </w:pPr>
      <w:r>
        <w:rPr/>
        <w:t>2. Dataset Requirements and Assumptions</w:t>
      </w:r>
    </w:p>
    <w:p>
      <w:pPr>
        <w:pStyle w:val="Normal"/>
        <w:rPr/>
      </w:pPr>
      <w:r>
        <w:rPr/>
        <w:t>3. System Overview and Analytical Requirements</w:t>
      </w:r>
    </w:p>
    <w:p>
      <w:pPr>
        <w:pStyle w:val="Normal"/>
        <w:rPr/>
      </w:pPr>
      <w:r>
        <w:rPr/>
        <w:t>4. Python Implementation and Reporting</w:t>
      </w:r>
    </w:p>
    <w:p>
      <w:pPr>
        <w:pStyle w:val="Normal"/>
        <w:rPr/>
      </w:pPr>
      <w:r>
        <w:rPr/>
        <w:t>5. Functional Requirements</w:t>
      </w:r>
    </w:p>
    <w:p>
      <w:pPr>
        <w:pStyle w:val="Normal"/>
        <w:rPr/>
      </w:pPr>
      <w:r>
        <w:rPr/>
        <w:t>6. Non-Functional Requirements</w:t>
      </w:r>
    </w:p>
    <w:p>
      <w:pPr>
        <w:pStyle w:val="Normal"/>
        <w:rPr/>
      </w:pPr>
      <w:r>
        <w:rPr/>
        <w:t>7. Analytical Metrics and Definitions</w:t>
      </w:r>
    </w:p>
    <w:p>
      <w:pPr>
        <w:pStyle w:val="Normal"/>
        <w:rPr/>
      </w:pPr>
      <w:r>
        <w:rPr/>
        <w:t>8. Project Structure and Workflow</w:t>
      </w:r>
    </w:p>
    <w:p>
      <w:pPr>
        <w:pStyle w:val="Normal"/>
        <w:rPr/>
      </w:pPr>
      <w:r>
        <w:rPr/>
        <w:t>9. Acceptance Criteria</w:t>
      </w:r>
    </w:p>
    <w:p>
      <w:pPr>
        <w:pStyle w:val="Normal"/>
        <w:rPr/>
      </w:pPr>
      <w:r>
        <w:rPr/>
        <w:t>10. Risks and Mitigation</w:t>
      </w:r>
    </w:p>
    <w:p>
      <w:pPr>
        <w:pStyle w:val="Normal"/>
        <w:rPr/>
      </w:pPr>
      <w:r>
        <w:rPr/>
        <w:t>11. Limitations and Out-of-Scope Items</w:t>
      </w:r>
    </w:p>
    <w:p>
      <w:pPr>
        <w:pStyle w:val="Normal"/>
        <w:rPr/>
      </w:pPr>
      <w:r>
        <w:rPr/>
        <w:t>12. References</w:t>
      </w:r>
    </w:p>
    <w:p>
      <w:pPr>
        <w:pStyle w:val="Normal"/>
        <w:rPr/>
      </w:pPr>
      <w:r>
        <w:rPr/>
      </w:r>
      <w:r>
        <w:br w:type="page"/>
      </w:r>
    </w:p>
    <w:p>
      <w:pPr>
        <w:pStyle w:val="Heading1"/>
        <w:rPr/>
      </w:pPr>
      <w:r>
        <w:rPr/>
        <w:t>1. Introduction</w:t>
      </w:r>
    </w:p>
    <w:p>
      <w:pPr>
        <w:pStyle w:val="Heading2"/>
        <w:rPr/>
      </w:pPr>
      <w:r>
        <w:rPr/>
        <w:t>1.1 Purpose</w:t>
      </w:r>
    </w:p>
    <w:p>
      <w:pPr>
        <w:pStyle w:val="Normal"/>
        <w:rPr/>
      </w:pPr>
      <w:r>
        <w:rPr/>
        <w:t>This Software Requirements Specification (SRS) defines the objectives, scope, analytical requirements, technical approach, expected outputs, and acceptance criteria for the Supply Chain Analytics Using Python project. The project will use the DataCo SMART Supply Chain dataset to assess data quality, analyze order and shipping performance, explore product and customer patterns, and develop evidence-based operational insights.</w:t>
      </w:r>
    </w:p>
    <w:p>
      <w:pPr>
        <w:pStyle w:val="Heading2"/>
        <w:rPr/>
      </w:pPr>
      <w:r>
        <w:rPr/>
        <w:t>1.2 Project Scope</w:t>
      </w:r>
    </w:p>
    <w:p>
      <w:pPr>
        <w:pStyle w:val="Normal"/>
        <w:rPr/>
      </w:pPr>
      <w:r>
        <w:rPr/>
        <w:t>The project will be implemented in Python, primarily in Jupyter Notebook. Pandas and NumPy will support data preparation, feature engineering, aggregation, and statistical analysis. Matplotlib and Seaborn will be used for visualization. The core scope is descriptive, diagnostic, and statistical data analysis; machine learning and predictive forecasting are not part of the core deliverables.</w:t>
      </w:r>
    </w:p>
    <w:p>
      <w:pPr>
        <w:pStyle w:val="Heading2"/>
        <w:rPr/>
      </w:pPr>
      <w:r>
        <w:rPr/>
        <w:t>1.3 Objectives</w:t>
      </w:r>
    </w:p>
    <w:p>
      <w:pPr>
        <w:pStyle w:val="ListBullet"/>
        <w:numPr>
          <w:ilvl w:val="0"/>
          <w:numId w:val="1"/>
        </w:numPr>
        <w:spacing w:before="0" w:after="40"/>
        <w:contextualSpacing/>
        <w:rPr/>
      </w:pPr>
      <w:r>
        <w:rPr/>
        <w:t>Inspect and document the dataset structure, field meanings, and data quality.</w:t>
      </w:r>
    </w:p>
    <w:p>
      <w:pPr>
        <w:pStyle w:val="ListBullet"/>
        <w:numPr>
          <w:ilvl w:val="0"/>
          <w:numId w:val="1"/>
        </w:numPr>
        <w:spacing w:before="0" w:after="40"/>
        <w:contextualSpacing/>
        <w:rPr/>
      </w:pPr>
      <w:r>
        <w:rPr/>
        <w:t>Measure order, sales, shipping, and delivery performance using fields actually present in the downloaded data.</w:t>
      </w:r>
    </w:p>
    <w:p>
      <w:pPr>
        <w:pStyle w:val="ListBullet"/>
        <w:numPr>
          <w:ilvl w:val="0"/>
          <w:numId w:val="1"/>
        </w:numPr>
        <w:spacing w:before="0" w:after="40"/>
        <w:contextualSpacing/>
        <w:rPr/>
      </w:pPr>
      <w:r>
        <w:rPr/>
        <w:t>Create date-based and operational features only when supported by valid source fields.</w:t>
      </w:r>
    </w:p>
    <w:p>
      <w:pPr>
        <w:pStyle w:val="ListBullet"/>
        <w:numPr>
          <w:ilvl w:val="0"/>
          <w:numId w:val="1"/>
        </w:numPr>
        <w:spacing w:before="0" w:after="40"/>
        <w:contextualSpacing/>
        <w:rPr/>
      </w:pPr>
      <w:r>
        <w:rPr/>
        <w:t>Explore order and demand patterns by time, product category, customer segment, and geography where available.</w:t>
      </w:r>
    </w:p>
    <w:p>
      <w:pPr>
        <w:pStyle w:val="ListBullet"/>
        <w:numPr>
          <w:ilvl w:val="0"/>
          <w:numId w:val="1"/>
        </w:numPr>
        <w:spacing w:before="0" w:after="40"/>
        <w:contextualSpacing/>
        <w:rPr/>
      </w:pPr>
      <w:r>
        <w:rPr/>
        <w:t>Compare operational performance across relevant groups and investigate unusual patterns.</w:t>
      </w:r>
    </w:p>
    <w:p>
      <w:pPr>
        <w:pStyle w:val="ListBullet"/>
        <w:numPr>
          <w:ilvl w:val="0"/>
          <w:numId w:val="1"/>
        </w:numPr>
        <w:spacing w:before="0" w:after="40"/>
        <w:contextualSpacing/>
        <w:rPr/>
      </w:pPr>
      <w:r>
        <w:rPr/>
        <w:t>Communicate findings through clear visualizations, interpretations, limitations, and evidence-based recommendations.</w:t>
      </w:r>
    </w:p>
    <w:p>
      <w:pPr>
        <w:pStyle w:val="Heading2"/>
        <w:rPr/>
      </w:pPr>
      <w:r>
        <w:rPr/>
        <w:t>1.4 Intended Audience</w:t>
      </w:r>
    </w:p>
    <w:p>
      <w:pPr>
        <w:pStyle w:val="ListBullet"/>
        <w:numPr>
          <w:ilvl w:val="0"/>
          <w:numId w:val="1"/>
        </w:numPr>
        <w:spacing w:before="0" w:after="40"/>
        <w:contextualSpacing/>
        <w:rPr/>
      </w:pPr>
      <w:r>
        <w:rPr/>
        <w:t>Project owner / aspiring Data Analyst</w:t>
      </w:r>
    </w:p>
    <w:p>
      <w:pPr>
        <w:pStyle w:val="ListBullet"/>
        <w:numPr>
          <w:ilvl w:val="0"/>
          <w:numId w:val="1"/>
        </w:numPr>
        <w:spacing w:before="0" w:after="40"/>
        <w:contextualSpacing/>
        <w:rPr/>
      </w:pPr>
      <w:r>
        <w:rPr/>
        <w:t>Recruiters and hiring managers reviewing the portfolio</w:t>
      </w:r>
    </w:p>
    <w:p>
      <w:pPr>
        <w:pStyle w:val="ListBullet"/>
        <w:numPr>
          <w:ilvl w:val="0"/>
          <w:numId w:val="1"/>
        </w:numPr>
        <w:spacing w:before="0" w:after="40"/>
        <w:contextualSpacing/>
        <w:rPr/>
      </w:pPr>
      <w:r>
        <w:rPr/>
        <w:t>Mentors and academic or professional reviewers</w:t>
      </w:r>
    </w:p>
    <w:p>
      <w:pPr>
        <w:pStyle w:val="ListBullet"/>
        <w:numPr>
          <w:ilvl w:val="0"/>
          <w:numId w:val="1"/>
        </w:numPr>
        <w:spacing w:before="0" w:after="40"/>
        <w:contextualSpacing/>
        <w:rPr/>
      </w:pPr>
      <w:r>
        <w:rPr/>
        <w:t>A simulated business audience interested in supply chain performance</w:t>
      </w:r>
    </w:p>
    <w:p>
      <w:pPr>
        <w:pStyle w:val="Heading2"/>
        <w:rPr/>
      </w:pPr>
      <w:r>
        <w:rPr/>
        <w:t>1.5 Key Definitions</w:t>
      </w:r>
    </w:p>
    <w:tbl>
      <w:tblPr>
        <w:tblStyle w:val="TableGrid"/>
        <w:tblW w:w="98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39"/>
        <w:gridCol w:w="4938"/>
      </w:tblGrid>
      <w:tr>
        <w:trPr>
          <w:cantSplit w:val="true"/>
        </w:trPr>
        <w:tc>
          <w:tcPr>
            <w:tcW w:w="4939"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Term</w:t>
            </w:r>
          </w:p>
        </w:tc>
        <w:tc>
          <w:tcPr>
            <w:tcW w:w="4938"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Definition</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EDA</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Exploratory Data Analysis: examining distributions, relationships, trends, and anomalies.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OTD</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On-Time Delivery: the percentage of eligible deliveries meeting a documented on-time definition.</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Lead time</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Elapsed time between two explicitly defined events, such as order placement and shipment.</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Demand measure</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 defined measure of units or orders over a period; the field and aggregation must be stated.</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Late-delivery risk</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 source-provided risk label; it must not automatically be interpreted as an actual late-delivery outcome.</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SRS</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Software Requirements Specification.</w:t>
            </w:r>
          </w:p>
        </w:tc>
      </w:tr>
    </w:tbl>
    <w:p>
      <w:pPr>
        <w:pStyle w:val="Normal"/>
        <w:spacing w:before="0" w:after="20"/>
        <w:rPr/>
      </w:pPr>
      <w:r>
        <w:rPr/>
      </w:r>
    </w:p>
    <w:p>
      <w:pPr>
        <w:pStyle w:val="Heading1"/>
        <w:rPr/>
      </w:pPr>
      <w:r>
        <w:rPr/>
        <w:t>2. Dataset Requirements and Assumptions</w:t>
      </w:r>
    </w:p>
    <w:p>
      <w:pPr>
        <w:pStyle w:val="Heading2"/>
        <w:rPr/>
      </w:pPr>
      <w:r>
        <w:rPr/>
        <w:t>2.1 Data Source</w:t>
      </w:r>
    </w:p>
    <w:p>
      <w:pPr>
        <w:pStyle w:val="Normal"/>
        <w:rPr/>
      </w:pPr>
      <w:r>
        <w:rPr/>
        <w:t>Primary source: DataCo SMART Supply Chain dataset hosted on Mendeley Data.</w:t>
      </w:r>
    </w:p>
    <w:p>
      <w:pPr>
        <w:pStyle w:val="Normal"/>
        <w:rPr/>
      </w:pPr>
      <w:r>
        <w:rPr/>
        <w:t>Dataset page: https://data.mendeley.com/datasets/8gx2fvg2k6/5</w:t>
      </w:r>
    </w:p>
    <w:p>
      <w:pPr>
        <w:pStyle w:val="Normal"/>
        <w:rPr/>
      </w:pPr>
      <w:r>
        <w:rPr/>
        <w:t>Before analysis begins, the downloaded files and any accompanying data dictionary must be reviewed. Column names mentioned in this document are conceptual examples; implementation must map each requirement to the actual headers in the selected dataset version.</w:t>
      </w:r>
    </w:p>
    <w:p>
      <w:pPr>
        <w:pStyle w:val="Heading2"/>
        <w:rPr/>
      </w:pPr>
      <w:r>
        <w:rPr/>
        <w:t>2.2 Expected Data Domains</w:t>
      </w:r>
    </w:p>
    <w:tbl>
      <w:tblPr>
        <w:tblStyle w:val="TableGrid"/>
        <w:tblW w:w="98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93"/>
        <w:gridCol w:w="3293"/>
        <w:gridCol w:w="3293"/>
      </w:tblGrid>
      <w:tr>
        <w:trPr>
          <w:cantSplit w:val="true"/>
        </w:trPr>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Domain</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Potential fields to verify</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Planned analytical use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Orders and sales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 identifier, order date, sales, quantity, order status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 volume, sales trends, and order-level summaries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Products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Product identifier/name, category, department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Category and product performance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Customers and geography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Customer segment, city, state, country, market/region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Customer-group and geographic comparisons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Shipping and fulfillment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Shipping mode, shipping date, delivery status, late-delivery risk</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Shipping-mode and delivery-performance analysis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Profitability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Profit/order benefit, sales, discount, item quantities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Financial analysis where measures are available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Inventory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Stock on hand, reorder point, warehouse inventory, stockout indicator</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Inventory analysis only if direct inventory fields exist</w:t>
            </w:r>
          </w:p>
        </w:tc>
      </w:tr>
    </w:tbl>
    <w:p>
      <w:pPr>
        <w:pStyle w:val="Normal"/>
        <w:spacing w:before="0" w:after="20"/>
        <w:rPr/>
      </w:pPr>
      <w:r>
        <w:rPr/>
      </w:r>
    </w:p>
    <w:p>
      <w:pPr>
        <w:pStyle w:val="Heading2"/>
        <w:rPr/>
      </w:pPr>
      <w:r>
        <w:rPr/>
        <w:t>2.3 Assumptions and Constraints</w:t>
      </w:r>
    </w:p>
    <w:p>
      <w:pPr>
        <w:pStyle w:val="ListBullet"/>
        <w:numPr>
          <w:ilvl w:val="0"/>
          <w:numId w:val="1"/>
        </w:numPr>
        <w:spacing w:before="0" w:after="40"/>
        <w:contextualSpacing/>
        <w:rPr/>
      </w:pPr>
      <w:r>
        <w:rPr/>
        <w:t>The actual file structure and data dictionary must be checked before finalizing analysis questions.</w:t>
      </w:r>
    </w:p>
    <w:p>
      <w:pPr>
        <w:pStyle w:val="ListBullet"/>
        <w:numPr>
          <w:ilvl w:val="0"/>
          <w:numId w:val="1"/>
        </w:numPr>
        <w:spacing w:before="0" w:after="40"/>
        <w:contextualSpacing/>
        <w:rPr/>
      </w:pPr>
      <w:r>
        <w:rPr/>
        <w:t>The selected dataset version may not contain scheduled delivery dates, actual delivery dates, carrier identifiers, freight cost, inventory-on-hand, or SKU-level daily stock data.</w:t>
      </w:r>
    </w:p>
    <w:p>
      <w:pPr>
        <w:pStyle w:val="ListBullet"/>
        <w:numPr>
          <w:ilvl w:val="0"/>
          <w:numId w:val="1"/>
        </w:numPr>
        <w:spacing w:before="0" w:after="40"/>
        <w:contextualSpacing/>
        <w:rPr/>
      </w:pPr>
      <w:r>
        <w:rPr/>
        <w:t>If scheduled and actual delivery dates are unavailable, a date-based OTD rate cannot be calculated. Source-provided delivery-status or late-risk fields must be analyzed separately and labeled accurately.</w:t>
      </w:r>
    </w:p>
    <w:p>
      <w:pPr>
        <w:pStyle w:val="ListBullet"/>
        <w:numPr>
          <w:ilvl w:val="0"/>
          <w:numId w:val="1"/>
        </w:numPr>
        <w:spacing w:before="0" w:after="40"/>
        <w:contextualSpacing/>
        <w:rPr/>
      </w:pPr>
      <w:r>
        <w:rPr/>
        <w:t>If stock-on-hand, replenishment, or stock-out fields are unavailable, the project will not claim to optimize inventory holding levels; order quantity or sales may be used as a demand proxy.</w:t>
      </w:r>
    </w:p>
    <w:p>
      <w:pPr>
        <w:pStyle w:val="ListBullet"/>
        <w:numPr>
          <w:ilvl w:val="0"/>
          <w:numId w:val="1"/>
        </w:numPr>
        <w:spacing w:before="0" w:after="40"/>
        <w:contextualSpacing/>
        <w:rPr/>
      </w:pPr>
      <w:r>
        <w:rPr/>
        <w:t>Demand trends and seasonality will be assessed only if the date coverage and time intervals are suitable.</w:t>
      </w:r>
    </w:p>
    <w:p>
      <w:pPr>
        <w:pStyle w:val="ListBullet"/>
        <w:numPr>
          <w:ilvl w:val="0"/>
          <w:numId w:val="1"/>
        </w:numPr>
        <w:spacing w:before="0" w:after="40"/>
        <w:contextualSpacing/>
        <w:rPr/>
      </w:pPr>
      <w:r>
        <w:rPr/>
        <w:t>Missing values, duplicates, and outliers will be measured before decisions are made about handling them.</w:t>
      </w:r>
    </w:p>
    <w:p>
      <w:pPr>
        <w:pStyle w:val="ListBullet"/>
        <w:numPr>
          <w:ilvl w:val="0"/>
          <w:numId w:val="1"/>
        </w:numPr>
        <w:spacing w:before="0" w:after="40"/>
        <w:contextualSpacing/>
        <w:rPr/>
      </w:pPr>
      <w:r>
        <w:rPr/>
        <w:t>Row granularity must be confirmed before calculating order-level metrics, to prevent duplicate counting of order values.</w:t>
      </w:r>
    </w:p>
    <w:p>
      <w:pPr>
        <w:pStyle w:val="Heading1"/>
        <w:rPr/>
      </w:pPr>
      <w:r>
        <w:rPr/>
        <w:t>3. System Overview and Analytical Requirements</w:t>
      </w:r>
    </w:p>
    <w:p>
      <w:pPr>
        <w:pStyle w:val="Heading2"/>
        <w:rPr/>
      </w:pPr>
      <w:r>
        <w:rPr/>
        <w:t>3.1 System Overview</w:t>
      </w:r>
    </w:p>
    <w:p>
      <w:pPr>
        <w:pStyle w:val="Normal"/>
        <w:rPr/>
      </w:pPr>
      <w:r>
        <w:rPr/>
        <w:t>The system is an offline Python-based analytical workflow, not a live operational application. It will load the source data, profile and clean it, create validated analytical features, perform exploratory analysis, generate visualizations, and document findings.</w:t>
      </w:r>
    </w:p>
    <w:p>
      <w:pPr>
        <w:pStyle w:val="Heading2"/>
        <w:rPr/>
      </w:pPr>
      <w:r>
        <w:rPr/>
        <w:t>3.2 Data Cleaning and Pre-processing</w:t>
      </w:r>
    </w:p>
    <w:p>
      <w:pPr>
        <w:pStyle w:val="Normal"/>
        <w:rPr/>
      </w:pPr>
      <w:r>
        <w:rPr/>
        <w:t>The notebook shall:</w:t>
      </w:r>
    </w:p>
    <w:p>
      <w:pPr>
        <w:pStyle w:val="ListBullet"/>
        <w:numPr>
          <w:ilvl w:val="0"/>
          <w:numId w:val="1"/>
        </w:numPr>
        <w:spacing w:before="0" w:after="40"/>
        <w:contextualSpacing/>
        <w:rPr/>
      </w:pPr>
      <w:r>
        <w:rPr/>
        <w:t>Report row and column counts, column names, data types, and representative records.</w:t>
      </w:r>
    </w:p>
    <w:p>
      <w:pPr>
        <w:pStyle w:val="ListBullet"/>
        <w:numPr>
          <w:ilvl w:val="0"/>
          <w:numId w:val="1"/>
        </w:numPr>
        <w:spacing w:before="0" w:after="40"/>
        <w:contextualSpacing/>
        <w:rPr/>
      </w:pPr>
      <w:r>
        <w:rPr/>
        <w:t>Identify missing values and calculate counts and percentages by column.</w:t>
      </w:r>
    </w:p>
    <w:p>
      <w:pPr>
        <w:pStyle w:val="ListBullet"/>
        <w:numPr>
          <w:ilvl w:val="0"/>
          <w:numId w:val="1"/>
        </w:numPr>
        <w:spacing w:before="0" w:after="40"/>
        <w:contextualSpacing/>
        <w:rPr/>
      </w:pPr>
      <w:r>
        <w:rPr/>
        <w:t>Detect duplicate rows and investigate duplicate identifiers or transactions.</w:t>
      </w:r>
    </w:p>
    <w:p>
      <w:pPr>
        <w:pStyle w:val="ListBullet"/>
        <w:numPr>
          <w:ilvl w:val="0"/>
          <w:numId w:val="1"/>
        </w:numPr>
        <w:spacing w:before="0" w:after="40"/>
        <w:contextualSpacing/>
        <w:rPr/>
      </w:pPr>
      <w:r>
        <w:rPr/>
        <w:t>Convert date and numeric columns using explicit error handling; review invalid conversions.</w:t>
      </w:r>
    </w:p>
    <w:p>
      <w:pPr>
        <w:pStyle w:val="ListBullet"/>
        <w:numPr>
          <w:ilvl w:val="0"/>
          <w:numId w:val="1"/>
        </w:numPr>
        <w:spacing w:before="0" w:after="40"/>
        <w:contextualSpacing/>
        <w:rPr/>
      </w:pPr>
      <w:r>
        <w:rPr/>
        <w:t>Standardize inconsistent categorical values where justified.</w:t>
      </w:r>
    </w:p>
    <w:p>
      <w:pPr>
        <w:pStyle w:val="ListBullet"/>
        <w:numPr>
          <w:ilvl w:val="0"/>
          <w:numId w:val="1"/>
        </w:numPr>
        <w:spacing w:before="0" w:after="40"/>
        <w:contextualSpacing/>
        <w:rPr/>
      </w:pPr>
      <w:r>
        <w:rPr/>
        <w:t>Investigate implausible numerical values and outliers without automatically deleting valid extreme observations.</w:t>
      </w:r>
    </w:p>
    <w:p>
      <w:pPr>
        <w:pStyle w:val="ListBullet"/>
        <w:numPr>
          <w:ilvl w:val="0"/>
          <w:numId w:val="1"/>
        </w:numPr>
        <w:spacing w:before="0" w:after="40"/>
        <w:contextualSpacing/>
        <w:rPr/>
      </w:pPr>
      <w:r>
        <w:rPr/>
        <w:t>Retain the raw source unchanged and document all cleaning decisions and their impact.</w:t>
      </w:r>
    </w:p>
    <w:p>
      <w:pPr>
        <w:pStyle w:val="Normal"/>
        <w:rPr/>
      </w:pPr>
      <w:r>
        <w:rPr/>
        <w:t>Libraries: Pandas and NumPy.</w:t>
      </w:r>
    </w:p>
    <w:p>
      <w:pPr>
        <w:pStyle w:val="Heading2"/>
        <w:rPr/>
      </w:pPr>
      <w:r>
        <w:rPr/>
        <w:t>3.3 Feature Engineering and Operational Metrics</w:t>
      </w:r>
    </w:p>
    <w:p>
      <w:pPr>
        <w:pStyle w:val="Heading3"/>
        <w:rPr/>
      </w:pPr>
      <w:r>
        <w:rPr/>
        <w:t>3.3.1 Lead Time and Order Cycle Time</w:t>
      </w:r>
    </w:p>
    <w:p>
      <w:pPr>
        <w:pStyle w:val="Normal"/>
        <w:rPr/>
      </w:pPr>
      <w:r>
        <w:rPr/>
        <w:t>Where valid dates exist, calculate the elapsed time between the relevant events. Order-to-ship lead time = Shipping Date − Order Date. Order cycle time = Actual Delivery Date − Order Date. These are different measures and must not be used interchangeably. Negative or implausible intervals must be flagged for investigation.</w:t>
      </w:r>
    </w:p>
    <w:p>
      <w:pPr>
        <w:pStyle w:val="Heading3"/>
        <w:rPr/>
      </w:pPr>
      <w:r>
        <w:rPr/>
        <w:t>3.3.2 Delivery Performance</w:t>
      </w:r>
    </w:p>
    <w:p>
      <w:pPr>
        <w:pStyle w:val="Normal"/>
        <w:rPr/>
      </w:pPr>
      <w:r>
        <w:rPr/>
        <w:t>Calculate date-based OTD only if valid scheduled and actual delivery dates (or an equivalent documented definition) are available. OTD (%) = Eligible deliveries meeting the on-time definition ÷ Total eligible deliveries × 100. Compare delivery outcomes by shipping mode, region, and product category where suitable fields exist. Do not treat a late-delivery risk label as proof of an actual late delivery.</w:t>
      </w:r>
    </w:p>
    <w:p>
      <w:pPr>
        <w:pStyle w:val="Heading3"/>
        <w:rPr/>
      </w:pPr>
      <w:r>
        <w:rPr/>
        <w:t>3.3.3 Shipping Delay</w:t>
      </w:r>
    </w:p>
    <w:p>
      <w:pPr>
        <w:pStyle w:val="Normal"/>
        <w:rPr/>
      </w:pPr>
      <w:r>
        <w:rPr/>
        <w:t>If actual and scheduled shipping duration are both available and comparable, calculate Shipping Delay = Actual Shipping Duration − Scheduled Shipping Duration. Summarize the mean, median, distribution, and larger positive delays. If the necessary fields are absent, document the metric as unavailable rather than substituting unrelated fields.</w:t>
      </w:r>
    </w:p>
    <w:p>
      <w:pPr>
        <w:pStyle w:val="Heading3"/>
        <w:rPr/>
      </w:pPr>
      <w:r>
        <w:rPr/>
        <w:t>3.3.4 Demand and Order Quantity</w:t>
      </w:r>
    </w:p>
    <w:p>
      <w:pPr>
        <w:pStyle w:val="Normal"/>
        <w:rPr/>
      </w:pPr>
      <w:r>
        <w:rPr/>
        <w:t>Analyze recorded order quantities by product, category, geography, and time where those fields exist. Average Daily Demand = Total units recorded during the analysis period ÷ Number of calendar days in that period. State the chosen period and product granularity. Distinguish dates with no recorded orders from dates with missing or incomplete data.</w:t>
      </w:r>
    </w:p>
    <w:p>
      <w:pPr>
        <w:pStyle w:val="Normal"/>
        <w:rPr/>
      </w:pPr>
      <w:r>
        <w:rPr/>
        <w:t>Recorded order quantities represent transactions and do not necessarily describe complete warehouse stock movements. Inventory depletion and stock-out calculations require suitable inventory data.</w:t>
      </w:r>
    </w:p>
    <w:p>
      <w:pPr>
        <w:pStyle w:val="Heading3"/>
        <w:rPr/>
      </w:pPr>
      <w:r>
        <w:rPr/>
        <w:t>3.3.5 Sales and Profitability</w:t>
      </w:r>
    </w:p>
    <w:p>
      <w:pPr>
        <w:pStyle w:val="Normal"/>
        <w:rPr/>
      </w:pPr>
      <w:r>
        <w:rPr/>
        <w:t>Analyze the validated sales, discount, quantity, and order-benefit fields where available. Planned measures include total sales, average sales per distinct order, sales by category and customer segment, discount comparisons, order-benefit distributions, and records with negative order benefit. Confirm row granularity and whether financial values repeat across order lines before aggregation to avoid double-counting.</w:t>
      </w:r>
    </w:p>
    <w:p>
      <w:pPr>
        <w:pStyle w:val="Heading2"/>
        <w:rPr/>
      </w:pPr>
      <w:r>
        <w:rPr/>
        <w:t>3.4 Exploratory Data Analysis</w:t>
      </w:r>
    </w:p>
    <w:p>
      <w:pPr>
        <w:pStyle w:val="Heading3"/>
        <w:rPr/>
      </w:pPr>
      <w:r>
        <w:rPr/>
        <w:t>3.4.1 Uni-variate Analysis</w:t>
      </w:r>
    </w:p>
    <w:p>
      <w:pPr>
        <w:pStyle w:val="Normal"/>
        <w:rPr/>
      </w:pPr>
      <w:r>
        <w:rPr/>
        <w:t>Examine distributions and category frequencies for suitable numeric and categorical variables, such as sales, quantities, shipping duration, shipping delay, order benefit, discount, product category, and shipping mode. Use histograms, box plots, count plots, and bar charts as appropriate.</w:t>
      </w:r>
    </w:p>
    <w:p>
      <w:pPr>
        <w:pStyle w:val="Heading3"/>
        <w:rPr/>
      </w:pPr>
      <w:r>
        <w:rPr/>
        <w:t>3.4.2 Shipping Mode and Delivery Performance</w:t>
      </w:r>
    </w:p>
    <w:p>
      <w:pPr>
        <w:pStyle w:val="Normal"/>
        <w:rPr/>
      </w:pPr>
      <w:r>
        <w:rPr/>
        <w:t>Compare shipping duration and available delivery outcomes across shipping modes and regions. Candidate charts include box plots, violin plots, bar charts, and grouped comparisons. Interpret differences as observed associations, not proof that a shipping mode caused an outcome.</w:t>
      </w:r>
    </w:p>
    <w:p>
      <w:pPr>
        <w:pStyle w:val="Heading3"/>
        <w:rPr/>
      </w:pPr>
      <w:r>
        <w:rPr/>
        <w:t>3.4.3 Geographic and Product Analysis</w:t>
      </w:r>
    </w:p>
    <w:p>
      <w:pPr>
        <w:pStyle w:val="Normal"/>
        <w:rPr/>
      </w:pPr>
      <w:r>
        <w:rPr/>
        <w:t>Compare order volume, quantities, and sales across available countries, markets, regions, cities, product categories, departments, and customer segments. Map-based visuals are optional and require reliable geographic fields.</w:t>
      </w:r>
    </w:p>
    <w:p>
      <w:pPr>
        <w:pStyle w:val="Heading3"/>
        <w:rPr/>
      </w:pPr>
      <w:r>
        <w:rPr/>
        <w:t>3.4.4 Time-Based Analysis</w:t>
      </w:r>
    </w:p>
    <w:p>
      <w:pPr>
        <w:pStyle w:val="Normal"/>
        <w:rPr/>
      </w:pPr>
      <w:r>
        <w:rPr/>
        <w:t>Plot daily or monthly order volume, quantity, sales, and delivery performance where valid transaction dates and adequate coverage exist. Investigate recurring patterns only when the observed time series supports them; do not claim seasonality from insufficient data.</w:t>
      </w:r>
    </w:p>
    <w:p>
      <w:pPr>
        <w:pStyle w:val="Heading3"/>
        <w:rPr/>
      </w:pPr>
      <w:r>
        <w:rPr/>
        <w:t>3.4.5 Statistical and Correlation Analysis</w:t>
      </w:r>
    </w:p>
    <w:p>
      <w:pPr>
        <w:pStyle w:val="Normal"/>
        <w:rPr/>
      </w:pPr>
      <w:r>
        <w:rPr/>
        <w:t>Use descriptive statistics such as mean, median, standard deviation, and quartiles. Explore suitable relationships, including discounts and order benefit, scheduled and actual shipping duration, and quantities and sales. The interquartile range (IQR) may be used to flag potential outliers. Correlation must not be interpreted as causation.</w:t>
      </w:r>
    </w:p>
    <w:p>
      <w:pPr>
        <w:pStyle w:val="Heading2"/>
        <w:rPr/>
      </w:pPr>
      <w:r>
        <w:rPr/>
        <w:t>3.5 Findings and Business Recommendations</w:t>
      </w:r>
    </w:p>
    <w:p>
      <w:pPr>
        <w:pStyle w:val="Normal"/>
        <w:rPr/>
      </w:pPr>
      <w:r>
        <w:rPr/>
        <w:t>The final analysis shall identify verified patterns in shipping performance, geography, product categories, customer segments, order quantities, and data quality. Recommendations must be traceable to observed results and must clearly distinguish findings, assumptions, and limitations.</w:t>
      </w:r>
    </w:p>
    <w:p>
      <w:pPr>
        <w:pStyle w:val="Heading1"/>
        <w:rPr/>
      </w:pPr>
      <w:r>
        <w:rPr/>
        <w:t>4. Python Implementation and Reporting</w:t>
      </w:r>
    </w:p>
    <w:p>
      <w:pPr>
        <w:pStyle w:val="Heading2"/>
        <w:rPr/>
      </w:pPr>
      <w:r>
        <w:rPr/>
        <w:t>4.1 Development Environment</w:t>
      </w:r>
    </w:p>
    <w:tbl>
      <w:tblPr>
        <w:tblStyle w:val="TableGrid"/>
        <w:tblW w:w="98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39"/>
        <w:gridCol w:w="4938"/>
      </w:tblGrid>
      <w:tr>
        <w:trPr>
          <w:cantSplit w:val="true"/>
        </w:trPr>
        <w:tc>
          <w:tcPr>
            <w:tcW w:w="4939"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Technology</w:t>
            </w:r>
          </w:p>
        </w:tc>
        <w:tc>
          <w:tcPr>
            <w:tcW w:w="4938"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Python 3.x</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Primary programming language</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Jupyter Notebook / JupyterLab</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Executing, documenting, and presenting the analysis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Pandas</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Loading, cleaning, transforming, aggregating, and analyzing data</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NumPy</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Numerical operations and statistical calculations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Matplotlib</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Creating charts and visualizing results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Seaborn</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Statistical and comparative visualizations</w:t>
            </w:r>
          </w:p>
        </w:tc>
      </w:tr>
    </w:tbl>
    <w:p>
      <w:pPr>
        <w:pStyle w:val="Normal"/>
        <w:spacing w:before="0" w:after="20"/>
        <w:rPr/>
      </w:pPr>
      <w:r>
        <w:rPr/>
      </w:r>
    </w:p>
    <w:p>
      <w:pPr>
        <w:pStyle w:val="Normal"/>
        <w:rPr/>
      </w:pPr>
      <w:r>
        <w:rPr/>
        <w:t>The project will remain Python-based. Additional Python libraries may be used only when they directly support the approved analysis scope.</w:t>
      </w:r>
    </w:p>
    <w:p>
      <w:pPr>
        <w:pStyle w:val="Heading2"/>
        <w:rPr/>
      </w:pPr>
      <w:r>
        <w:rPr/>
        <w:t>4.2 Analytical Workflow</w:t>
      </w:r>
    </w:p>
    <w:p>
      <w:pPr>
        <w:pStyle w:val="ListNumber"/>
        <w:numPr>
          <w:ilvl w:val="0"/>
          <w:numId w:val="4"/>
        </w:numPr>
        <w:spacing w:before="0" w:after="40"/>
        <w:contextualSpacing/>
        <w:rPr/>
      </w:pPr>
      <w:r>
        <w:rPr/>
        <w:t>Download the dataset and review its documentation.</w:t>
      </w:r>
    </w:p>
    <w:p>
      <w:pPr>
        <w:pStyle w:val="ListNumber"/>
        <w:numPr>
          <w:ilvl w:val="0"/>
          <w:numId w:val="4"/>
        </w:numPr>
        <w:spacing w:before="0" w:after="40"/>
        <w:contextualSpacing/>
        <w:rPr/>
      </w:pPr>
      <w:r>
        <w:rPr/>
        <w:t>Load the source file(s) into Pandas DataFrames.</w:t>
      </w:r>
    </w:p>
    <w:p>
      <w:pPr>
        <w:pStyle w:val="ListNumber"/>
        <w:numPr>
          <w:ilvl w:val="0"/>
          <w:numId w:val="4"/>
        </w:numPr>
        <w:spacing w:before="0" w:after="40"/>
        <w:contextualSpacing/>
        <w:rPr/>
      </w:pPr>
      <w:r>
        <w:rPr/>
        <w:t>Inspect structure, headers, data types, row granularity, and date coverage.</w:t>
      </w:r>
    </w:p>
    <w:p>
      <w:pPr>
        <w:pStyle w:val="ListNumber"/>
        <w:numPr>
          <w:ilvl w:val="0"/>
          <w:numId w:val="4"/>
        </w:numPr>
        <w:spacing w:before="0" w:after="40"/>
        <w:contextualSpacing/>
        <w:rPr/>
      </w:pPr>
      <w:r>
        <w:rPr/>
        <w:t>Profile missing values, duplicates, unusual values, and invalid dates.</w:t>
      </w:r>
    </w:p>
    <w:p>
      <w:pPr>
        <w:pStyle w:val="ListNumber"/>
        <w:numPr>
          <w:ilvl w:val="0"/>
          <w:numId w:val="4"/>
        </w:numPr>
        <w:spacing w:before="0" w:after="40"/>
        <w:contextualSpacing/>
        <w:rPr/>
      </w:pPr>
      <w:r>
        <w:rPr/>
        <w:t>Clean a working copy and document the rules applied.</w:t>
      </w:r>
    </w:p>
    <w:p>
      <w:pPr>
        <w:pStyle w:val="ListNumber"/>
        <w:numPr>
          <w:ilvl w:val="0"/>
          <w:numId w:val="4"/>
        </w:numPr>
        <w:spacing w:before="0" w:after="40"/>
        <w:contextualSpacing/>
        <w:rPr/>
      </w:pPr>
      <w:r>
        <w:rPr/>
        <w:t>Create validated derived variables and performance metrics.</w:t>
      </w:r>
    </w:p>
    <w:p>
      <w:pPr>
        <w:pStyle w:val="ListNumber"/>
        <w:numPr>
          <w:ilvl w:val="0"/>
          <w:numId w:val="4"/>
        </w:numPr>
        <w:spacing w:before="0" w:after="40"/>
        <w:contextualSpacing/>
        <w:rPr/>
      </w:pPr>
      <w:r>
        <w:rPr/>
        <w:t>Perform exploratory data analysis and statistical summaries.</w:t>
      </w:r>
    </w:p>
    <w:p>
      <w:pPr>
        <w:pStyle w:val="ListNumber"/>
        <w:numPr>
          <w:ilvl w:val="0"/>
          <w:numId w:val="4"/>
        </w:numPr>
        <w:spacing w:before="0" w:after="40"/>
        <w:contextualSpacing/>
        <w:rPr/>
      </w:pPr>
      <w:r>
        <w:rPr/>
        <w:t>Generate and interpret visualizations.</w:t>
      </w:r>
    </w:p>
    <w:p>
      <w:pPr>
        <w:pStyle w:val="ListNumber"/>
        <w:numPr>
          <w:ilvl w:val="0"/>
          <w:numId w:val="4"/>
        </w:numPr>
        <w:spacing w:before="0" w:after="40"/>
        <w:contextualSpacing/>
        <w:rPr/>
      </w:pPr>
      <w:r>
        <w:rPr/>
        <w:t>Develop evidence-based insights, recommendations, and limitations.</w:t>
      </w:r>
    </w:p>
    <w:p>
      <w:pPr>
        <w:pStyle w:val="ListNumber"/>
        <w:numPr>
          <w:ilvl w:val="0"/>
          <w:numId w:val="4"/>
        </w:numPr>
        <w:spacing w:before="0" w:after="40"/>
        <w:contextualSpacing/>
        <w:rPr/>
      </w:pPr>
      <w:r>
        <w:rPr/>
        <w:t>Run the notebook from top to bottom and prepare the README and final report.</w:t>
      </w:r>
    </w:p>
    <w:p>
      <w:pPr>
        <w:pStyle w:val="Heading2"/>
        <w:rPr/>
      </w:pPr>
      <w:r>
        <w:rPr/>
        <w:t>4.3 Planned Visual Outputs</w:t>
      </w:r>
    </w:p>
    <w:p>
      <w:pPr>
        <w:pStyle w:val="ListBullet"/>
        <w:numPr>
          <w:ilvl w:val="0"/>
          <w:numId w:val="1"/>
        </w:numPr>
        <w:spacing w:before="0" w:after="40"/>
        <w:contextualSpacing/>
        <w:rPr/>
      </w:pPr>
      <w:r>
        <w:rPr/>
        <w:t>Order volume by available geographical region.</w:t>
      </w:r>
    </w:p>
    <w:p>
      <w:pPr>
        <w:pStyle w:val="ListBullet"/>
        <w:numPr>
          <w:ilvl w:val="0"/>
          <w:numId w:val="1"/>
        </w:numPr>
        <w:spacing w:before="0" w:after="40"/>
        <w:contextualSpacing/>
        <w:rPr/>
      </w:pPr>
      <w:r>
        <w:rPr/>
        <w:t>Sales and quantities by product category.</w:t>
      </w:r>
    </w:p>
    <w:p>
      <w:pPr>
        <w:pStyle w:val="ListBullet"/>
        <w:numPr>
          <w:ilvl w:val="0"/>
          <w:numId w:val="1"/>
        </w:numPr>
        <w:spacing w:before="0" w:after="40"/>
        <w:contextualSpacing/>
        <w:rPr/>
      </w:pPr>
      <w:r>
        <w:rPr/>
        <w:t>Shipping duration by shipping mode.</w:t>
      </w:r>
    </w:p>
    <w:p>
      <w:pPr>
        <w:pStyle w:val="ListBullet"/>
        <w:numPr>
          <w:ilvl w:val="0"/>
          <w:numId w:val="1"/>
        </w:numPr>
        <w:spacing w:before="0" w:after="40"/>
        <w:contextualSpacing/>
        <w:rPr/>
      </w:pPr>
      <w:r>
        <w:rPr/>
        <w:t>Shipping-delay distributions, if calculable.</w:t>
      </w:r>
    </w:p>
    <w:p>
      <w:pPr>
        <w:pStyle w:val="ListBullet"/>
        <w:numPr>
          <w:ilvl w:val="0"/>
          <w:numId w:val="1"/>
        </w:numPr>
        <w:spacing w:before="0" w:after="40"/>
        <w:contextualSpacing/>
        <w:rPr/>
      </w:pPr>
      <w:r>
        <w:rPr/>
        <w:t>Daily and monthly order or sales trends, if supported by date coverage.</w:t>
      </w:r>
    </w:p>
    <w:p>
      <w:pPr>
        <w:pStyle w:val="ListBullet"/>
        <w:numPr>
          <w:ilvl w:val="0"/>
          <w:numId w:val="1"/>
        </w:numPr>
        <w:spacing w:before="0" w:after="40"/>
        <w:contextualSpacing/>
        <w:rPr/>
      </w:pPr>
      <w:r>
        <w:rPr/>
        <w:t>Order-benefit distributions and comparisons.</w:t>
      </w:r>
    </w:p>
    <w:p>
      <w:pPr>
        <w:pStyle w:val="ListBullet"/>
        <w:numPr>
          <w:ilvl w:val="0"/>
          <w:numId w:val="1"/>
        </w:numPr>
        <w:spacing w:before="0" w:after="40"/>
        <w:contextualSpacing/>
        <w:rPr/>
      </w:pPr>
      <w:r>
        <w:rPr/>
        <w:t>Correlation heatmap for selected numerical variables.</w:t>
      </w:r>
    </w:p>
    <w:p>
      <w:pPr>
        <w:pStyle w:val="ListBullet"/>
        <w:numPr>
          <w:ilvl w:val="0"/>
          <w:numId w:val="1"/>
        </w:numPr>
        <w:spacing w:before="0" w:after="40"/>
        <w:contextualSpacing/>
        <w:rPr/>
      </w:pPr>
      <w:r>
        <w:rPr/>
        <w:t>Comparative delivery-performance charts using validated outcome fields.</w:t>
      </w:r>
    </w:p>
    <w:p>
      <w:pPr>
        <w:pStyle w:val="Normal"/>
        <w:rPr/>
      </w:pPr>
      <w:r>
        <w:rPr/>
        <w:t>Each major visualization shall have a meaningful title, readable axes, units where relevant, a legend when needed, and a brief interpretation.</w:t>
      </w:r>
    </w:p>
    <w:p>
      <w:pPr>
        <w:pStyle w:val="Heading2"/>
        <w:rPr/>
      </w:pPr>
      <w:r>
        <w:rPr/>
        <w:t>4.4 Deliverables</w:t>
      </w:r>
    </w:p>
    <w:p>
      <w:pPr>
        <w:pStyle w:val="ListBullet"/>
        <w:numPr>
          <w:ilvl w:val="0"/>
          <w:numId w:val="1"/>
        </w:numPr>
        <w:spacing w:before="0" w:after="40"/>
        <w:contextualSpacing/>
        <w:rPr/>
      </w:pPr>
      <w:r>
        <w:rPr/>
        <w:t>A Jupyter Notebook containing the complete analysis and explanatory notes.</w:t>
      </w:r>
    </w:p>
    <w:p>
      <w:pPr>
        <w:pStyle w:val="ListBullet"/>
        <w:numPr>
          <w:ilvl w:val="0"/>
          <w:numId w:val="1"/>
        </w:numPr>
        <w:spacing w:before="0" w:after="40"/>
        <w:contextualSpacing/>
        <w:rPr/>
      </w:pPr>
      <w:r>
        <w:rPr/>
        <w:t>A reproducible data-cleaning and feature-engineering workflow.</w:t>
      </w:r>
    </w:p>
    <w:p>
      <w:pPr>
        <w:pStyle w:val="ListBullet"/>
        <w:numPr>
          <w:ilvl w:val="0"/>
          <w:numId w:val="1"/>
        </w:numPr>
        <w:spacing w:before="0" w:after="40"/>
        <w:contextualSpacing/>
        <w:rPr/>
      </w:pPr>
      <w:r>
        <w:rPr/>
        <w:t>A data-quality assessment and documented metric definitions.</w:t>
      </w:r>
    </w:p>
    <w:p>
      <w:pPr>
        <w:pStyle w:val="ListBullet"/>
        <w:numPr>
          <w:ilvl w:val="0"/>
          <w:numId w:val="1"/>
        </w:numPr>
        <w:spacing w:before="0" w:after="40"/>
        <w:contextualSpacing/>
        <w:rPr/>
      </w:pPr>
      <w:r>
        <w:rPr/>
        <w:t>Exploratory analysis, statistical summaries, and visualizations.</w:t>
      </w:r>
    </w:p>
    <w:p>
      <w:pPr>
        <w:pStyle w:val="ListBullet"/>
        <w:numPr>
          <w:ilvl w:val="0"/>
          <w:numId w:val="1"/>
        </w:numPr>
        <w:spacing w:before="0" w:after="40"/>
        <w:contextualSpacing/>
        <w:rPr/>
      </w:pPr>
      <w:r>
        <w:rPr/>
        <w:t>A final report containing verified findings, limitations, and recommendations.</w:t>
      </w:r>
    </w:p>
    <w:p>
      <w:pPr>
        <w:pStyle w:val="ListBullet"/>
        <w:numPr>
          <w:ilvl w:val="0"/>
          <w:numId w:val="1"/>
        </w:numPr>
        <w:spacing w:before="0" w:after="40"/>
        <w:contextualSpacing/>
        <w:rPr/>
      </w:pPr>
      <w:r>
        <w:rPr/>
        <w:t>A GitHub repository with README, dependencies, project structure, and execution instructions.</w:t>
      </w:r>
    </w:p>
    <w:p>
      <w:pPr>
        <w:pStyle w:val="Heading1"/>
        <w:rPr/>
      </w:pPr>
      <w:r>
        <w:rPr/>
        <w:t>5. Functional Requirements</w:t>
      </w:r>
    </w:p>
    <w:tbl>
      <w:tblPr>
        <w:tblStyle w:val="TableGrid"/>
        <w:tblW w:w="98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93"/>
        <w:gridCol w:w="3293"/>
        <w:gridCol w:w="3293"/>
      </w:tblGrid>
      <w:tr>
        <w:trPr>
          <w:cantSplit w:val="true"/>
        </w:trPr>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ID</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Requirement</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FR-01</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 loading</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Load the selected source file using a configurable path and show a clear error if loading fails.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FR-02</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Dataset overview</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Report dimensions, column names, data types, sample records, and useful summaries.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FR-03</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 dictionary review</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Review available field descriptions and document the meaning of fields used.</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FR-04</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Data-quality audit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Calculate missing-value counts and percentages, duplicate counts, category frequencies, and numeric summaries.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FR-05</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Type and date validation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Parse dates and convert numeric/categorical fields with invalid conversions reviewed.</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FR-06</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 cleaning</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Apply justified cleaning rules to a working copy while preserving the raw source.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FR-07</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Temporal features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Derive year, month, quarter, or weekday only where a valid date field exists.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FR-08</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Lead-time calculation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Calculate elapsed days when required dates exist and flag negative or suspicious intervals.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FR-09</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Delivery analysis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Analyze available delivery-status and late-risk fields; calculate date-based OTD only when supported.</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FR-10</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Sales and order analysis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Summarize supported sales, order counts, quantities, and trends by time, product, customer, or geography.</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FR-11</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Product and geography analysis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Compare product categories and geographic groups using fields present in the source.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FR-12</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Demand analysis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Define the selected demand measure and analyze it over time; inventory optimization requires actual inventory fields.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FR-13</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Visualization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Create readable charts for key distributions, comparisons, trends, and relationships.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FR-14</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Insight interpretation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Explain what each major result shows and why it may matter operationally.</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FR-15</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Recommendations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Link recommendations to observed evidence and state relevant limitations.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FR-16</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Reproducibility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Organize the notebook into clear sections and ensure it runs from top to bottom in the documented environment.</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FR-17</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Documentation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Provide a README with goals, data source, libraries, workflow, findings, limitations, and run instructions.</w:t>
            </w:r>
          </w:p>
        </w:tc>
      </w:tr>
    </w:tbl>
    <w:p>
      <w:pPr>
        <w:pStyle w:val="Normal"/>
        <w:spacing w:before="0" w:after="20"/>
        <w:rPr/>
      </w:pPr>
      <w:r>
        <w:rPr/>
      </w:r>
    </w:p>
    <w:p>
      <w:pPr>
        <w:pStyle w:val="Heading1"/>
        <w:rPr/>
      </w:pPr>
      <w:r>
        <w:rPr/>
        <w:t>6. Non-Functional Requirements</w:t>
      </w:r>
    </w:p>
    <w:tbl>
      <w:tblPr>
        <w:tblStyle w:val="TableGrid"/>
        <w:tblW w:w="98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93"/>
        <w:gridCol w:w="3293"/>
        <w:gridCol w:w="3293"/>
      </w:tblGrid>
      <w:tr>
        <w:trPr>
          <w:cantSplit w:val="true"/>
        </w:trPr>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ID</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Requirement</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Description</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NFR-01</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Accuracy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Use documented definitions, appropriate aggregation levels, and validated calculations.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NFR-02</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Transparency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Record assumptions, exclusions, imputation decisions, and feature definitions.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NFR-03</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Reproducibility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Enable a reviewer to rerun the analysis using documented files and libraries.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NFR-04</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Maintainability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Use clear variable names, logical notebook sections, and reusable functions where useful.</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NFR-05</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Performance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Run on a typical personal computer without unnecessary repeated loading or copying of large data.</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NFR-06</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Usability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Make charts, tables, headings, and explanations understandable to a non-technical reviewer.</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NFR-07</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Responsible data use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Respect the dataset's license and avoid unnecessarily exposing personal or sensitive information.</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NFR-08</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Visual clarity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Use meaningful titles, axis labels, legible scales, and legends where needed.</w:t>
            </w:r>
          </w:p>
        </w:tc>
      </w:tr>
    </w:tbl>
    <w:p>
      <w:pPr>
        <w:pStyle w:val="Normal"/>
        <w:spacing w:before="0" w:after="20"/>
        <w:rPr/>
      </w:pPr>
      <w:r>
        <w:rPr/>
      </w:r>
    </w:p>
    <w:p>
      <w:pPr>
        <w:pStyle w:val="Heading1"/>
        <w:rPr/>
      </w:pPr>
      <w:r>
        <w:rPr/>
        <w:t>7. Analytical Metrics and Definitions</w:t>
      </w:r>
    </w:p>
    <w:p>
      <w:pPr>
        <w:pStyle w:val="Normal"/>
        <w:rPr/>
      </w:pPr>
      <w:r>
        <w:rPr/>
        <w:t>Metrics must be defined before calculation and used only when the required source fields are available.</w:t>
      </w:r>
    </w:p>
    <w:tbl>
      <w:tblPr>
        <w:tblStyle w:val="TableGrid"/>
        <w:tblW w:w="98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93"/>
        <w:gridCol w:w="3293"/>
        <w:gridCol w:w="3293"/>
      </w:tblGrid>
      <w:tr>
        <w:trPr>
          <w:cantSplit w:val="true"/>
        </w:trPr>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Metric</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Definition / Formula</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Required data and caveats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 count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Count of distinct order IDs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Confirm row granularity and use a reliable order identifier.</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Sales total</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Sum of the selected sales/revenue field</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Confirm currency, row granularity, and whether values repeat across order lines.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Order-to-ship lead time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Shipping date − order date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Requires both valid dates; negative values need investigation.</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 cycle time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Actual delivery date − order date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Requires actual delivery date and order date.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On-Time Delivery (OTD)</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Eligible on-time deliveries ÷ all eligible deliveries × 100</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Requires a documented on-time definition and valid outcome/date fields.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Late-delivery rate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Orders classified as late ÷ eligible orders × 100</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Clarify whether the field represents an actual outcome or a risk label.</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Demand proxy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Units ordered or order count by period and group</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Prefer quantity when available; label order count as a proxy if used.</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Shipping delay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Actual shipping duration − scheduled shipping duration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Requires comparable actual and scheduled duration measures.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Average sales per order</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Validated sales total ÷ distinct order count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Aggregate at order level where needed to avoid double-counting.</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Inventory turnover / stock-out risk</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Not defined for the core project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Out of scope unless suitable inventory, replenishment, and cost/stock fields exist.</w:t>
            </w:r>
          </w:p>
        </w:tc>
      </w:tr>
    </w:tbl>
    <w:p>
      <w:pPr>
        <w:pStyle w:val="Normal"/>
        <w:spacing w:before="0" w:after="20"/>
        <w:rPr/>
      </w:pPr>
      <w:r>
        <w:rPr/>
      </w:r>
    </w:p>
    <w:p>
      <w:pPr>
        <w:pStyle w:val="Heading1"/>
        <w:rPr/>
      </w:pPr>
      <w:r>
        <w:rPr/>
      </w:r>
    </w:p>
    <w:p>
      <w:pPr>
        <w:pStyle w:val="Heading1"/>
        <w:rPr/>
      </w:pPr>
      <w:r>
        <w:rPr/>
        <w:t>8. Project Structure and Workflow</w:t>
      </w:r>
    </w:p>
    <w:tbl>
      <w:tblPr>
        <w:tblStyle w:val="TableGrid"/>
        <w:tblW w:w="987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93"/>
        <w:gridCol w:w="3293"/>
        <w:gridCol w:w="3293"/>
      </w:tblGrid>
      <w:tr>
        <w:trPr>
          <w:cantSplit w:val="true"/>
        </w:trPr>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Phase</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Activity</w:t>
            </w:r>
          </w:p>
        </w:tc>
        <w:tc>
          <w:tcPr>
            <w:tcW w:w="3293"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Expected output</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1. Understand</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Download the dataset and review documentation.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Source files and field notes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2. Profile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Inspect dimensions, fields, types, missingness, duplicates, and ranges.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Data-quality profile</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3. Clean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Apply justified cleaning rules to a working copy.</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Cleaned DataFrame and cleaning log</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4. Engineer</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Create valid date parts, lead-time measures, and delay flags where supported.</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Validated derived columns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5. Analyze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Answer business questions with grouping, aggregation, and time summaries.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Tables and summary metrics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6. Visualize</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Create charts and explain their interpretation.</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Figures and analytical notes</w:t>
            </w:r>
          </w:p>
        </w:tc>
      </w:tr>
      <w:tr>
        <w:trPr>
          <w:cantSplit w:val="true"/>
        </w:trPr>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7. Report</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Summarize findings, limitations, and recommendations.</w:t>
            </w:r>
          </w:p>
        </w:tc>
        <w:tc>
          <w:tcPr>
            <w:tcW w:w="3293"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Notebook, report, and README</w:t>
            </w:r>
          </w:p>
        </w:tc>
      </w:tr>
    </w:tbl>
    <w:p>
      <w:pPr>
        <w:pStyle w:val="Normal"/>
        <w:spacing w:before="0" w:after="20"/>
        <w:rPr/>
      </w:pPr>
      <w:r>
        <w:rPr/>
      </w:r>
    </w:p>
    <w:p>
      <w:pPr>
        <w:pStyle w:val="Heading1"/>
        <w:rPr/>
      </w:pPr>
      <w:r>
        <w:rPr/>
        <w:t>9. Acceptance Criteria</w:t>
      </w:r>
    </w:p>
    <w:p>
      <w:pPr>
        <w:pStyle w:val="ListBullet"/>
        <w:numPr>
          <w:ilvl w:val="0"/>
          <w:numId w:val="1"/>
        </w:numPr>
        <w:spacing w:before="0" w:after="40"/>
        <w:contextualSpacing/>
        <w:rPr/>
      </w:pPr>
      <w:r>
        <w:rPr/>
        <w:t>The source file loads successfully, and its dimensions and columns are recorded.</w:t>
      </w:r>
    </w:p>
    <w:p>
      <w:pPr>
        <w:pStyle w:val="ListBullet"/>
        <w:numPr>
          <w:ilvl w:val="0"/>
          <w:numId w:val="1"/>
        </w:numPr>
        <w:spacing w:before="0" w:after="40"/>
        <w:contextualSpacing/>
        <w:rPr/>
      </w:pPr>
      <w:r>
        <w:rPr/>
        <w:t>A data dictionary or documented interpretation exists for the fields used in the analysis.</w:t>
      </w:r>
    </w:p>
    <w:p>
      <w:pPr>
        <w:pStyle w:val="ListBullet"/>
        <w:numPr>
          <w:ilvl w:val="0"/>
          <w:numId w:val="1"/>
        </w:numPr>
        <w:spacing w:before="0" w:after="40"/>
        <w:contextualSpacing/>
        <w:rPr/>
      </w:pPr>
      <w:r>
        <w:rPr/>
        <w:t>Missing values, duplicates, data types, row granularity, and relevant value ranges are profiled before cleaning.</w:t>
      </w:r>
    </w:p>
    <w:p>
      <w:pPr>
        <w:pStyle w:val="ListBullet"/>
        <w:numPr>
          <w:ilvl w:val="0"/>
          <w:numId w:val="1"/>
        </w:numPr>
        <w:spacing w:before="0" w:after="40"/>
        <w:contextualSpacing/>
        <w:rPr/>
      </w:pPr>
      <w:r>
        <w:rPr/>
        <w:t>Cleaning rules are justified, documented, and applied without altering the raw source.</w:t>
      </w:r>
    </w:p>
    <w:p>
      <w:pPr>
        <w:pStyle w:val="ListBullet"/>
        <w:numPr>
          <w:ilvl w:val="0"/>
          <w:numId w:val="1"/>
        </w:numPr>
        <w:spacing w:before="0" w:after="40"/>
        <w:contextualSpacing/>
        <w:rPr/>
      </w:pPr>
      <w:r>
        <w:rPr/>
        <w:t>At least three relevant business questions are answered using fields actually present in the dataset.</w:t>
      </w:r>
    </w:p>
    <w:p>
      <w:pPr>
        <w:pStyle w:val="ListBullet"/>
        <w:numPr>
          <w:ilvl w:val="0"/>
          <w:numId w:val="1"/>
        </w:numPr>
        <w:spacing w:before="0" w:after="40"/>
        <w:contextualSpacing/>
        <w:rPr/>
      </w:pPr>
      <w:r>
        <w:rPr/>
        <w:t>Important derived metrics include clear definitions, appropriate denominators, and valid source fields.</w:t>
      </w:r>
    </w:p>
    <w:p>
      <w:pPr>
        <w:pStyle w:val="ListBullet"/>
        <w:numPr>
          <w:ilvl w:val="0"/>
          <w:numId w:val="1"/>
        </w:numPr>
        <w:spacing w:before="0" w:after="40"/>
        <w:contextualSpacing/>
        <w:rPr/>
      </w:pPr>
      <w:r>
        <w:rPr/>
        <w:t>Visualizations are readable, correctly labeled, and linked to analytical questions.</w:t>
      </w:r>
    </w:p>
    <w:p>
      <w:pPr>
        <w:pStyle w:val="ListBullet"/>
        <w:numPr>
          <w:ilvl w:val="0"/>
          <w:numId w:val="1"/>
        </w:numPr>
        <w:spacing w:before="0" w:after="40"/>
        <w:contextualSpacing/>
        <w:rPr/>
      </w:pPr>
      <w:r>
        <w:rPr/>
        <w:t>Findings distinguish observed facts from assumptions and do not make unsupported causal claims.</w:t>
      </w:r>
    </w:p>
    <w:p>
      <w:pPr>
        <w:pStyle w:val="ListBullet"/>
        <w:numPr>
          <w:ilvl w:val="0"/>
          <w:numId w:val="1"/>
        </w:numPr>
        <w:spacing w:before="0" w:after="40"/>
        <w:contextualSpacing/>
        <w:rPr/>
      </w:pPr>
      <w:r>
        <w:rPr/>
        <w:t>The notebook runs from top to bottom in the documented environment.</w:t>
      </w:r>
    </w:p>
    <w:p>
      <w:pPr>
        <w:pStyle w:val="ListBullet"/>
        <w:numPr>
          <w:ilvl w:val="0"/>
          <w:numId w:val="1"/>
        </w:numPr>
        <w:spacing w:before="0" w:after="40"/>
        <w:contextualSpacing/>
        <w:rPr/>
      </w:pPr>
      <w:r>
        <w:rPr/>
        <w:t>The README provides the data source, dependencies, workflow, limitations, and execution instructions.</w:t>
      </w:r>
    </w:p>
    <w:p>
      <w:pPr>
        <w:pStyle w:val="Heading1"/>
        <w:rPr/>
      </w:pPr>
      <w:r>
        <w:rPr/>
        <w:t>10. Risks and Mitigation</w:t>
      </w:r>
    </w:p>
    <w:tbl>
      <w:tblPr>
        <w:tblStyle w:val="TableGrid"/>
        <w:tblW w:w="98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39"/>
        <w:gridCol w:w="4938"/>
      </w:tblGrid>
      <w:tr>
        <w:trPr>
          <w:cantSplit w:val="true"/>
        </w:trPr>
        <w:tc>
          <w:tcPr>
            <w:tcW w:w="4939"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Risk</w:t>
            </w:r>
          </w:p>
        </w:tc>
        <w:tc>
          <w:tcPr>
            <w:tcW w:w="4938" w:type="dxa"/>
            <w:tcBorders/>
            <w:shd w:fill="17365D"/>
            <w:vAlign w:val="center"/>
          </w:tcPr>
          <w:p>
            <w:pPr>
              <w:pStyle w:val="Normal"/>
              <w:widowControl/>
              <w:spacing w:before="20" w:after="20"/>
              <w:jc w:val="left"/>
              <w:rPr>
                <w:rFonts w:eastAsia="ＭＳ 明朝" w:cs=""/>
                <w:kern w:val="0"/>
                <w:szCs w:val="22"/>
                <w:lang w:val="en-US" w:eastAsia="en-US" w:bidi="ar-SA"/>
              </w:rPr>
            </w:pPr>
            <w:r>
              <w:rPr>
                <w:rFonts w:eastAsia="ＭＳ 明朝" w:cs=""/>
                <w:b/>
                <w:color w:val="FFFFFF"/>
                <w:kern w:val="0"/>
                <w:sz w:val="18"/>
                <w:szCs w:val="22"/>
                <w:lang w:val="en-US" w:eastAsia="en-US" w:bidi="ar-SA"/>
              </w:rPr>
              <w:t>Mitigation</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Required fields may be absent</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Inspect actual headers and the data dictionary first; revise the analysis rather than inventing fields.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Order-level metrics may be double-counted</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Confirm row granularity and aggregate using distinct order identifiers or appropriate order-level summaries.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Data quality may differ from expectations</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Profile the downloaded file before assuming missing values, duplicates, or errors exist.</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Demand analysis may be limited</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Define a suitable demand measure and report time coverage; do not imply inventory availability from transaction data.</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OTD cannot be measured directly</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Use date-based OTD only when valid required fields exist; otherwise analyze documented status/risk fields separately.</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Business claims may be overstated</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Tie recommendations to results and avoid causal claims based only on descriptive patterns or correlations.</w:t>
            </w:r>
          </w:p>
        </w:tc>
      </w:tr>
      <w:tr>
        <w:trPr>
          <w:cantSplit w:val="true"/>
        </w:trPr>
        <w:tc>
          <w:tcPr>
            <w:tcW w:w="4939"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Raw data may be unsuitable for public sharing</w:t>
            </w:r>
          </w:p>
        </w:tc>
        <w:tc>
          <w:tcPr>
            <w:tcW w:w="4938" w:type="dxa"/>
            <w:tcBorders/>
            <w:vAlign w:val="center"/>
          </w:tcPr>
          <w:p>
            <w:pPr>
              <w:pStyle w:val="Normal"/>
              <w:widowControl/>
              <w:spacing w:before="20" w:after="20"/>
              <w:jc w:val="left"/>
              <w:rPr>
                <w:rFonts w:eastAsia="ＭＳ 明朝" w:cs=""/>
                <w:kern w:val="0"/>
                <w:szCs w:val="22"/>
                <w:lang w:val="en-US" w:eastAsia="en-US" w:bidi="ar-SA"/>
              </w:rPr>
            </w:pPr>
            <w:r>
              <w:rPr>
                <w:rFonts w:eastAsia="ＭＳ 明朝" w:cs=""/>
                <w:b w:val="false"/>
                <w:kern w:val="0"/>
                <w:sz w:val="17"/>
                <w:szCs w:val="22"/>
                <w:lang w:val="en-US" w:eastAsia="en-US" w:bidi="ar-SA"/>
              </w:rPr>
              <w:t>Review dataset licensing, file size, and privacy considerations before committing data to GitHub.</w:t>
            </w:r>
          </w:p>
        </w:tc>
      </w:tr>
    </w:tbl>
    <w:p>
      <w:pPr>
        <w:pStyle w:val="Normal"/>
        <w:spacing w:before="0" w:after="20"/>
        <w:rPr/>
      </w:pPr>
      <w:r>
        <w:rPr/>
      </w:r>
    </w:p>
    <w:p>
      <w:pPr>
        <w:pStyle w:val="Heading1"/>
        <w:rPr/>
      </w:pPr>
      <w:r>
        <w:rPr/>
        <w:t>11. Limitations and Out-of-Scope Items</w:t>
      </w:r>
    </w:p>
    <w:p>
      <w:pPr>
        <w:pStyle w:val="ListBullet"/>
        <w:numPr>
          <w:ilvl w:val="0"/>
          <w:numId w:val="1"/>
        </w:numPr>
        <w:spacing w:before="0" w:after="40"/>
        <w:contextualSpacing/>
        <w:rPr/>
      </w:pPr>
      <w:r>
        <w:rPr/>
        <w:t>The analysis is limited to the fields available in the selected DataCo dataset version.</w:t>
      </w:r>
    </w:p>
    <w:p>
      <w:pPr>
        <w:pStyle w:val="ListBullet"/>
        <w:numPr>
          <w:ilvl w:val="0"/>
          <w:numId w:val="1"/>
        </w:numPr>
        <w:spacing w:before="0" w:after="40"/>
        <w:contextualSpacing/>
        <w:rPr/>
      </w:pPr>
      <w:r>
        <w:rPr/>
        <w:t>Actual warehouse stock-outs, inventory balances, reorder points, freight costs, and warehouse-to-destination route efficiency will not be claimed unless the necessary data is available.</w:t>
      </w:r>
    </w:p>
    <w:p>
      <w:pPr>
        <w:pStyle w:val="ListBullet"/>
        <w:numPr>
          <w:ilvl w:val="0"/>
          <w:numId w:val="1"/>
        </w:numPr>
        <w:spacing w:before="0" w:after="40"/>
        <w:contextualSpacing/>
        <w:rPr/>
      </w:pPr>
      <w:r>
        <w:rPr/>
        <w:t>Machine-learning prediction and future demand forecasting are outside the core project scope.</w:t>
      </w:r>
    </w:p>
    <w:p>
      <w:pPr>
        <w:pStyle w:val="ListBullet"/>
        <w:numPr>
          <w:ilvl w:val="0"/>
          <w:numId w:val="1"/>
        </w:numPr>
        <w:spacing w:before="0" w:after="40"/>
        <w:contextualSpacing/>
        <w:rPr/>
      </w:pPr>
      <w:r>
        <w:rPr/>
        <w:t>The dataset is not a live operational feed; results describe the supplied data and its coverage.</w:t>
      </w:r>
    </w:p>
    <w:p>
      <w:pPr>
        <w:pStyle w:val="ListBullet"/>
        <w:numPr>
          <w:ilvl w:val="0"/>
          <w:numId w:val="1"/>
        </w:numPr>
        <w:spacing w:before="0" w:after="40"/>
        <w:contextualSpacing/>
        <w:rPr/>
      </w:pPr>
      <w:r>
        <w:rPr/>
        <w:t>All conclusions must account for data quality, row granularity, missing fields, and the definitions used for metrics.</w:t>
      </w:r>
    </w:p>
    <w:p>
      <w:pPr>
        <w:pStyle w:val="Heading1"/>
        <w:rPr/>
      </w:pPr>
      <w:r>
        <w:rPr/>
        <w:t>12. References</w:t>
      </w:r>
    </w:p>
    <w:p>
      <w:pPr>
        <w:pStyle w:val="Normal"/>
        <w:rPr/>
      </w:pPr>
      <w:r>
        <w:rPr/>
        <w:t>Data source: DataCo SMART Supply Chain dataset, Mendeley Data.</w:t>
      </w:r>
    </w:p>
    <w:p>
      <w:pPr>
        <w:pStyle w:val="Normal"/>
        <w:rPr/>
      </w:pPr>
      <w:r>
        <w:rPr/>
        <w:t>https://data.mendeley.com/datasets/8gx2fvg2k6/5</w:t>
      </w:r>
    </w:p>
    <w:p>
      <w:pPr>
        <w:pStyle w:val="Normal"/>
        <w:widowControl/>
        <w:bidi w:val="0"/>
        <w:spacing w:lineRule="auto" w:line="259" w:before="0" w:after="100"/>
        <w:jc w:val="left"/>
        <w:rPr/>
      </w:pPr>
      <w:r>
        <w:rPr/>
        <w:t>Final implementation note: After downloading the selected dataset version, update the field mapping and metric availability notes to reflect the actual columns. In particular, date-based on-time delivery, shipping-delay calculations, and inventory analysis require specific fields that must be verified before implementation.</w:t>
      </w:r>
    </w:p>
    <w:sectPr>
      <w:headerReference w:type="default" r:id="rId2"/>
      <w:footerReference w:type="default" r:id="rId3"/>
      <w:type w:val="nextPage"/>
      <w:pgSz w:w="12240" w:h="15840"/>
      <w:pgMar w:left="1181" w:right="1181" w:gutter="0" w:header="720" w:top="1037"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Aptos Display">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r>
      <w:rPr>
        <w:color w:val="646464"/>
        <w:sz w:val="16"/>
        <w:shd w:fill="auto" w:val="clear"/>
      </w:rPr>
      <w:fldChar w:fldCharType="begin"/>
    </w:r>
    <w:r>
      <w:rPr>
        <w:sz w:val="16"/>
        <w:shd w:fill="auto" w:val="clear"/>
        <w:color w:val="646464"/>
      </w:rPr>
      <w:instrText xml:space="preserve"> PAGE </w:instrText>
    </w:r>
    <w:r>
      <w:rPr>
        <w:sz w:val="16"/>
        <w:shd w:fill="auto" w:val="clear"/>
        <w:color w:val="646464"/>
      </w:rPr>
      <w:fldChar w:fldCharType="separate"/>
    </w:r>
    <w:r>
      <w:rPr>
        <w:sz w:val="16"/>
        <w:shd w:fill="auto" w:val="clear"/>
        <w:color w:val="646464"/>
      </w:rPr>
      <w:t>10</w:t>
    </w:r>
    <w:r>
      <w:rPr>
        <w:sz w:val="16"/>
        <w:shd w:fill="auto" w:val="clear"/>
        <w:color w:val="64646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46464"/>
        <w:sz w:val="16"/>
      </w:rPr>
      <w:t>SUPPLY CHAIN ANALYTICS USING PYTHON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597"/>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597"/>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00"/>
      <w:contextualSpacing/>
    </w:pPr>
    <w:rPr>
      <w:rFonts w:ascii="Calibri" w:hAnsi="Calibri" w:eastAsia="ＭＳ ゴシック" w:cs="" w:asciiTheme="majorHAnsi" w:cstheme="majorBidi" w:eastAsiaTheme="majorEastAsia" w:hAnsiTheme="majorHAnsi"/>
      <w:b/>
      <w:color w:val="17365D"/>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00"/>
      <w:ind w:left="720" w:hanging="360"/>
      <w:contextualSpacing/>
    </w:pPr>
    <w:rPr/>
  </w:style>
  <w:style w:type="paragraph" w:styleId="List3">
    <w:name w:val="List Bullet 4"/>
    <w:basedOn w:val="Normal"/>
    <w:uiPriority w:val="99"/>
    <w:unhideWhenUsed/>
    <w:rsid w:val="00326f90"/>
    <w:pPr>
      <w:spacing w:before="0" w:after="1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00"/>
      <w:contextualSpacing/>
    </w:pPr>
    <w:rPr/>
  </w:style>
  <w:style w:type="paragraph" w:styleId="ListBullet2">
    <w:name w:val="List Bullet 2"/>
    <w:basedOn w:val="Normal"/>
    <w:uiPriority w:val="99"/>
    <w:unhideWhenUsed/>
    <w:qFormat/>
    <w:rsid w:val="00326f90"/>
    <w:pPr>
      <w:numPr>
        <w:ilvl w:val="0"/>
        <w:numId w:val="2"/>
      </w:numPr>
      <w:spacing w:before="0" w:after="100"/>
      <w:contextualSpacing/>
    </w:pPr>
    <w:rPr/>
  </w:style>
  <w:style w:type="paragraph" w:styleId="ListBullet3">
    <w:name w:val="List Bullet 3"/>
    <w:basedOn w:val="Normal"/>
    <w:uiPriority w:val="99"/>
    <w:unhideWhenUsed/>
    <w:qFormat/>
    <w:rsid w:val="00326f90"/>
    <w:pPr>
      <w:numPr>
        <w:ilvl w:val="0"/>
        <w:numId w:val="3"/>
      </w:numPr>
      <w:spacing w:before="0" w:after="100"/>
      <w:contextualSpacing/>
    </w:pPr>
    <w:rPr/>
  </w:style>
  <w:style w:type="paragraph" w:styleId="ListNumber">
    <w:name w:val="List Number"/>
    <w:basedOn w:val="Normal"/>
    <w:uiPriority w:val="99"/>
    <w:unhideWhenUsed/>
    <w:qFormat/>
    <w:rsid w:val="00326f90"/>
    <w:pPr>
      <w:numPr>
        <w:ilvl w:val="0"/>
        <w:numId w:val="4"/>
      </w:numPr>
      <w:spacing w:before="0" w:after="100"/>
      <w:contextualSpacing/>
    </w:pPr>
    <w:rPr/>
  </w:style>
  <w:style w:type="paragraph" w:styleId="ListNumber2">
    <w:name w:val="List Number 2"/>
    <w:basedOn w:val="Normal"/>
    <w:uiPriority w:val="99"/>
    <w:unhideWhenUsed/>
    <w:qFormat/>
    <w:rsid w:val="0029639d"/>
    <w:pPr>
      <w:numPr>
        <w:ilvl w:val="0"/>
        <w:numId w:val="5"/>
      </w:numPr>
      <w:spacing w:before="0" w:after="100"/>
      <w:contextualSpacing/>
    </w:pPr>
    <w:rPr/>
  </w:style>
  <w:style w:type="paragraph" w:styleId="ListNumber3">
    <w:name w:val="List Number 3"/>
    <w:basedOn w:val="Normal"/>
    <w:uiPriority w:val="99"/>
    <w:unhideWhenUsed/>
    <w:qFormat/>
    <w:rsid w:val="0029639d"/>
    <w:pPr>
      <w:numPr>
        <w:ilvl w:val="0"/>
        <w:numId w:val="6"/>
      </w:numPr>
      <w:spacing w:before="0" w:after="1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Application>MtscOffice/7.4.2.3$Windows_X86_64 LibreOffice_project/382eef1f22670f7f4118c8c2dd222ec7ad009daf</Application>
  <AppVersion>15.0000</AppVersion>
  <Pages>10</Pages>
  <Words>2878</Words>
  <Characters>18372</Characters>
  <CharactersWithSpaces>20823</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owner</dc:creator>
  <dc:description>generated by python-docx</dc:description>
  <cp:keywords>Supply Chain Data Analytics Python Pandas NumPy EDA SRS</cp:keywords>
  <dc:language>en-IN</dc:language>
  <cp:lastModifiedBy/>
  <dcterms:modified xsi:type="dcterms:W3CDTF">2026-10-27T18:31:24Z</dcterms:modified>
  <cp:revision>2</cp:revision>
  <dc:subject>Python-based Data Analytics Portfolio Project</dc:subject>
  <dc:title>Supply Chain Analytics Using Python — Software Requirements Specification</dc:title>
</cp:coreProperties>
</file>

<file path=docProps/custom.xml><?xml version="1.0" encoding="utf-8"?>
<Properties xmlns="http://schemas.openxmlformats.org/officeDocument/2006/custom-properties" xmlns:vt="http://schemas.openxmlformats.org/officeDocument/2006/docPropsVTypes"/>
</file>