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r>
              <w:rPr>
                <w:rFonts w:eastAsia="楷体"/>
                <w:sz w:val="24"/>
              </w:rPr>
              <w:t xml:space="preserve">为研究内容二的属性—机理描述和本节的诊断依据文本提供依据。</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所示。模型的时序编码与混合输入方式参照 ChatTS</w:t>
            </w:r>
            <w:r>
              <w:rPr>
                <w:rFonts w:eastAsia="楷体"/>
                <w:sz w:val="24"/>
                <w:vertAlign w:val="superscript"/>
              </w:rPr>
              <w:t xml:space="preserve">[39]</w:t>
            </w:r>
            <w:r>
              <w:rPr>
                <w:rFonts w:eastAsia="楷体"/>
                <w:sz w:val="24"/>
              </w:rPr>
              <w:t xml:space="preserve">，信号与文本的融合参照文献</w:t>
            </w:r>
            <w:r>
              <w:rPr>
                <w:rFonts w:eastAsia="楷体"/>
                <w:sz w:val="24"/>
                <w:vertAlign w:val="superscript"/>
              </w:rPr>
              <w:t xml:space="preserve">[43]</w:t>
            </w:r>
            <w:r>
              <w:rPr>
                <w:rFonts w:eastAsia="楷体"/>
                <w:sz w:val="24"/>
              </w:rPr>
              <w:t xml:space="preserve">，在此基础上加入属性—机理知识和属性化结构化输出，具体步骤如下。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p>
          <w:p w14:paraId="337638CA" w14:textId="77777777" w:rsidR="00320D2D" w:rsidRDefault="00000000">
            <w:pPr>
              <w:spacing w:line="420" w:lineRule="exact"/>
              <w:ind w:firstLineChars="200" w:firstLine="480"/>
            </w:pPr>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p>
          <w:p w14:paraId="596D7D5D" w14:textId="77777777" w:rsidR="00320D2D" w:rsidRDefault="00000000">
            <w:pPr>
              <w:spacing w:line="420" w:lineRule="exact"/>
              <w:ind w:firstLineChars="200" w:firstLine="480"/>
            </w:pPr>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r>
              <w:rPr>
                <w:rFonts w:eastAsia="楷体"/>
                <w:sz w:val="24"/>
                <w:vertAlign w:val="superscript"/>
              </w:rPr>
              <w:t xml:space="preserve">[46]</w:t>
            </w:r>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通过机理知识与证据相联系，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按研究内容一的评测划分进行实验：常规划分评价已见故障的诊断性能；部件组合、轴留出和程度外推划分评价未见故障组合的诊断能力；小样本划分评价性能随训练轮次的变化。对比方法包括：基于原始传感器通道的一维卷积神经网络与 Transformer 分类模型、使用同一时序编码器的逐属性分类模型、基于属性原型的零样本诊断方法，以及只输入统计文本、不经微调的大语言模型。消融实验分别去掉统计文本、机理知识、诊断依据和第一阶段对齐，并比较完整模式与快速模式的差异。</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证据由飞行数据计算得到，同时用于对齐训练、诊断微调和依据评价，使诊断结论可逐句核验。</w:t>
            </w:r>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的五个步骤对应。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