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，研究内容二的诊断模型作为研究内容三的教师模型。总体技术路线如图 1 所示。</w:t>
            </w:r>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w:t>
            </w:r>
            <w:r>
              <w:rPr>
                <w:rFonts w:eastAsia="楷体"/>
                <w:sz w:val="24"/>
              </w:rPr>
              <w:t xml:space="preserve">特</w:t>
            </w:r>
            <w:r>
              <w:rPr>
                <w:rFonts w:eastAsia="楷体"/>
                <w:sz w:val="24"/>
              </w:rPr>
              <w:t xml:space="preserve">征和分析故障可检测性五步。</w:t>
            </w:r>
          </w:p>
          <w:p w14:paraId="69016595"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75A2E901"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w:t>
            </w:r>
            <w:commentRangeStart w:id="17"/>
            <w:r>
              <w:rPr>
                <w:rFonts w:eastAsia="楷体"/>
                <w:sz w:val="24"/>
              </w:rPr>
              <w:t xml:space="preserve">。</w:t>
            </w:r>
            <w:commentRangeEnd w:id="17"/>
            <w:r>
              <w:rPr>
                <w:rStyle w:val="ae"/>
                <w:rFonts w:eastAsia="楷体"/>
                <w:sz w:val="24"/>
                <w:szCs w:val="24"/>
              </w:rPr>
              <w:commentReference w:id="17"/>
            </w:r>
            <w:r>
              <w:rPr>
                <w:rFonts w:eastAsia="楷体"/>
                <w:sz w:val="24"/>
              </w:rPr>
              <w:t xml:space="preserve">除常规飞行数据外，还记录状态估计器的新息、检验比和零偏估计；读写器同步记录各标签的相位、RSSI 和信道。</w:t>
            </w:r>
          </w:p>
          <w:p w14:paraId="05D1D071"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w:t>
            </w:r>
            <w:r>
              <w:rPr>
                <w:rFonts w:eastAsia="楷体"/>
                <w:sz w:val="24"/>
              </w:rPr>
              <w:t xml:space="preserve">-</w:t>
            </w:r>
            <w:r>
              <w:rPr>
                <w:rFonts w:eastAsia="楷体"/>
                <w:sz w:val="24"/>
              </w:rPr>
              <w:t xml:space="preserve">轴</w:t>
            </w:r>
            <w:r>
              <w:rPr>
                <w:rFonts w:eastAsia="楷体"/>
                <w:sz w:val="24"/>
              </w:rPr>
              <w:t xml:space="preserve">-</w:t>
            </w:r>
            <w:r>
              <w:rPr>
                <w:rFonts w:eastAsia="楷体"/>
                <w:sz w:val="24"/>
              </w:rPr>
              <w:t xml:space="preserve">模式</w:t>
            </w:r>
            <w:r>
              <w:rPr>
                <w:rFonts w:eastAsia="楷体"/>
                <w:sz w:val="24"/>
              </w:rPr>
              <w:t xml:space="preserve">-</w:t>
            </w:r>
            <w:r>
              <w:rPr>
                <w:rFonts w:eastAsia="楷体"/>
                <w:sz w:val="24"/>
              </w:rPr>
              <w:t xml:space="preserve">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5D3622F1" w14:textId="77777777" w:rsidR="003F4AA3" w:rsidRDefault="00000000">
            <w:pPr>
              <w:spacing w:line="420" w:lineRule="exact"/>
              <w:ind w:firstLineChars="200" w:firstLine="480"/>
            </w:pPr>
            <w:r>
              <w:rPr>
                <w:rFonts w:eastAsia="楷体"/>
                <w:sz w:val="24"/>
              </w:rPr>
              <w:t xml:space="preserve">（4）构建分层故障</w:t>
            </w:r>
            <w:r>
              <w:rPr>
                <w:rFonts w:eastAsia="楷体"/>
                <w:sz w:val="24"/>
              </w:rPr>
              <w:t xml:space="preserve">特</w:t>
            </w:r>
            <w:r>
              <w:rPr>
                <w:rFonts w:eastAsia="楷体"/>
                <w:sz w:val="24"/>
              </w:rPr>
              <w:t xml:space="preserve">征。从传感层（原始测量）、控制层（电机指令及其不平衡量）和估计层（新息、检验比、零偏估计）提取特征，并以本轮注入前的悬停段为基准做差分，抵消飞行之间的差异；归纳各类故障在三层上的响应模式，为研究内容二的属性</w:t>
            </w:r>
            <w:r>
              <w:rPr>
                <w:rFonts w:eastAsia="楷体"/>
                <w:sz w:val="24"/>
              </w:rPr>
              <w:t xml:space="preserve">-</w:t>
            </w:r>
            <w:r>
              <w:rPr>
                <w:rFonts w:eastAsia="楷体"/>
                <w:sz w:val="24"/>
              </w:rPr>
              <w:t xml:space="preserve">机理描述和诊断依据文本提供依据。</w:t>
            </w:r>
          </w:p>
          <w:p w14:paraId="00E7519E"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w:t>
            </w:r>
            <w:r>
              <w:rPr>
                <w:rFonts w:eastAsia="楷体"/>
                <w:sz w:val="24"/>
              </w:rPr>
              <w:t xml:space="preserve">特</w:t>
            </w:r>
            <w:r>
              <w:rPr>
                <w:rFonts w:eastAsia="楷体"/>
                <w:sz w:val="24"/>
              </w:rPr>
              <w:t xml:space="preserve">征的有效性，并为依据文本中显著变化的判定提供标准。初步结果如图 3 所示。</w:t>
            </w:r>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6198EEA0" w14:textId="77777777" w:rsidR="003F4AA3" w:rsidRDefault="00000000">
            <w:pPr>
              <w:spacing w:before="62" w:after="62" w:line="420" w:lineRule="exact"/>
              <w:jc w:val="center"/>
            </w:pPr>
            <w:r>
              <w:rPr>
                <w:rFonts w:eastAsia="楷体"/>
                <w:sz w:val="24"/>
              </w:rPr>
              <w:t xml:space="preserve">图 2 实验平台搭建与数据集构建流程</w:t>
            </w:r>
          </w:p>
          <w:p w14:paraId="43074FA9" w14:textId="77777777" w:rsidR="00400F60" w:rsidRDefault="00000000">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3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w:t>
            </w:r>
            <w:r>
              <w:rPr>
                <w:rFonts w:eastAsia="楷体"/>
                <w:sz w:val="24"/>
              </w:rPr>
              <w:t xml:space="preserve">-</w:t>
            </w:r>
            <w:r>
              <w:rPr>
                <w:rFonts w:eastAsia="楷体"/>
                <w:sz w:val="24"/>
              </w:rPr>
              <w:t xml:space="preserve">机理知识和属性化结构化输出，具体步骤如下。</w:t>
            </w:r>
          </w:p>
          <w:p w14:paraId="222A0265" w14:textId="77777777" w:rsidR="00320D2D" w:rsidRDefault="00000000">
            <w:pPr>
              <w:spacing w:line="420" w:lineRule="exact"/>
              <w:ind w:firstLineChars="200" w:firstLine="480"/>
            </w:pPr>
            <w:r>
              <w:rPr>
                <w:rFonts w:eastAsia="楷体"/>
                <w:sz w:val="24"/>
              </w:rPr>
              <w:t xml:space="preserve">（1）构建时序</w:t>
            </w:r>
            <w:r>
              <w:rPr>
                <w:rFonts w:eastAsia="楷体"/>
                <w:sz w:val="24"/>
              </w:rPr>
              <w:t xml:space="preserve">-</w:t>
            </w:r>
            <w:r>
              <w:rPr>
                <w:rFonts w:eastAsia="楷体"/>
                <w:sz w:val="24"/>
              </w:rPr>
              <w:t xml:space="preserve">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w:t>
            </w:r>
            <w:r>
              <w:rPr>
                <w:rFonts w:eastAsia="楷体"/>
                <w:sz w:val="24"/>
              </w:rPr>
              <w:t xml:space="preserve">-</w:t>
            </w:r>
            <w:r>
              <w:rPr>
                <w:rFonts w:eastAsia="楷体"/>
                <w:sz w:val="24"/>
              </w:rPr>
              <w:t xml:space="preserve">机理知识。</w:t>
            </w:r>
          </w:p>
          <w:p w14:paraId="40AAAF90" w14:textId="77777777" w:rsidR="00320D2D" w:rsidRDefault="00000000">
            <w:pPr>
              <w:spacing w:line="420" w:lineRule="exact"/>
              <w:ind w:firstLineChars="200" w:firstLine="480"/>
            </w:pPr>
            <w:r>
              <w:rPr>
                <w:rFonts w:eastAsia="楷体"/>
                <w:sz w:val="24"/>
              </w:rPr>
              <w:t xml:space="preserve">（2）构建属性</w:t>
            </w:r>
            <w:r>
              <w:rPr>
                <w:rFonts w:eastAsia="楷体"/>
                <w:sz w:val="24"/>
              </w:rPr>
              <w:t xml:space="preserve">-</w:t>
            </w:r>
            <w:r>
              <w:rPr>
                <w:rFonts w:eastAsia="楷体"/>
                <w:sz w:val="24"/>
              </w:rPr>
              <w:t xml:space="preserve">机理知识。依据 PX4 文档与源码、平台故障模型和多旋翼教材，为每个属性取值编写机理描述，说明故障的物理含义、在闭环中</w:t>
            </w:r>
            <w:r>
              <w:rPr>
                <w:rFonts w:eastAsia="楷体"/>
                <w:sz w:val="24"/>
              </w:rPr>
              <w:t xml:space="preserve">引起</w:t>
            </w:r>
            <w:r>
              <w:rPr>
                <w:rFonts w:eastAsia="楷体"/>
                <w:sz w:val="24"/>
              </w:rPr>
              <w:t xml:space="preserve">的</w:t>
            </w:r>
            <w:r>
              <w:rPr>
                <w:rFonts w:eastAsia="楷体"/>
                <w:sz w:val="24"/>
              </w:rPr>
              <w:t xml:space="preserve">信号变化</w:t>
            </w:r>
            <w:r>
              <w:rPr>
                <w:rFonts w:eastAsia="楷体"/>
                <w:sz w:val="24"/>
              </w:rPr>
              <w:t xml:space="preserve">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6F1DFD1A"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w:t>
            </w:r>
            <w:r>
              <w:rPr>
                <w:rFonts w:eastAsia="楷体"/>
                <w:sz w:val="24"/>
              </w:rPr>
              <w:t xml:space="preserve">-</w:t>
            </w:r>
            <w:r>
              <w:rPr>
                <w:rFonts w:eastAsia="楷体"/>
                <w:sz w:val="24"/>
              </w:rPr>
              <w:t xml:space="preserve">语义对齐：冻结大语言模型，只训练编码器和投影层，训练数据包括 ChatTS 的合成时序描述数据（合成方法如图 5 所示），以及由训练集飞行数据自动生成、答案由程序计算的“信号</w:t>
            </w:r>
            <w:r>
              <w:rPr>
                <w:rFonts w:eastAsia="楷体"/>
                <w:sz w:val="24"/>
              </w:rPr>
              <w:t xml:space="preserve">-</w:t>
            </w:r>
            <w:r>
              <w:rPr>
                <w:rFonts w:eastAsia="楷体"/>
                <w:sz w:val="24"/>
              </w:rPr>
              <w:t xml:space="preserve">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6C83CDD2"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07B5CE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结论”输出与约束解码；下方标出两阶段训练各自训练的模块和数据。编号与 3.2.2 的四个步骤对应。</w:t>
            </w:r>
          </w:p>
          <w:p w14:paraId="64BF627B" w14:textId="77777777" w:rsidR="003F4AA3" w:rsidRDefault="00000000">
            <w:pPr>
              <w:spacing w:before="62" w:after="62" w:line="420" w:lineRule="exact"/>
              <w:jc w:val="center"/>
            </w:pPr>
            <w:r>
              <w:rPr>
                <w:rFonts w:eastAsia="楷体"/>
                <w:sz w:val="24"/>
              </w:rPr>
              <w:t xml:space="preserve">图 4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5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6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4192B1A7"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33B63155" w14:textId="77777777" w:rsidR="00320D2D" w:rsidRDefault="00000000">
            <w:pPr>
              <w:spacing w:line="420" w:lineRule="exact"/>
              <w:ind w:firstLineChars="200" w:firstLine="480"/>
            </w:pPr>
            <w:r>
              <w:rPr>
                <w:rFonts w:eastAsia="楷体"/>
                <w:sz w:val="24"/>
              </w:rPr>
              <w:t>（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[51]</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6F8F4AC4"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[55]</w:t>
            </w:r>
            <w:r>
              <w:rPr>
                <w:rFonts w:eastAsia="楷体"/>
                <w:sz w:val="24"/>
              </w:rPr>
              <w:t xml:space="preserve">等方法，CPU 端采用 GGUF 格式。边缘设备上大语言模型的推理时延主要由逐词元解码决定</w:t>
            </w:r>
            <w:r>
              <w:rPr>
                <w:rFonts w:eastAsia="楷体"/>
                <w:sz w:val="24"/>
                <w:vertAlign w:val="superscript"/>
              </w:rPr>
              <w:t>[56]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67342694" w14:textId="77777777" w:rsidR="00320D2D" w:rsidRDefault="00000000">
            <w:pPr>
              <w:spacing w:line="420" w:lineRule="exact"/>
              <w:ind w:firstLineChars="200" w:firstLine="480"/>
            </w:pPr>
            <w:r>
              <w:rPr>
                <w:rFonts w:eastAsia="楷体"/>
                <w:sz w:val="24"/>
              </w:rPr>
              <w:t xml:space="preserve">（4）构建检测</w:t>
            </w:r>
            <w:r>
              <w:rPr>
                <w:rFonts w:eastAsia="楷体"/>
                <w:sz w:val="24"/>
              </w:rPr>
              <w:t xml:space="preserve">-</w:t>
            </w:r>
            <w:r>
              <w:rPr>
                <w:rFonts w:eastAsia="楷体"/>
                <w:sz w:val="24"/>
              </w:rPr>
              <w:t xml:space="preserve">诊断分层部署架构。轻量检测器常驻运行，对新息、检验比和电机指令不平衡量等指标做统计检验，判断当前窗口是否异常；报警后调用学生模型的快速模式给出结论，需要解释时再调用完整模式输出诊断依据。</w:t>
            </w:r>
          </w:p>
          <w:p w14:paraId="56B8F2D3"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79203EE"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w:t>
            </w:r>
            <w:r>
              <w:rPr>
                <w:rFonts w:eastAsia="楷体"/>
                <w:sz w:val="24"/>
              </w:rPr>
              <w:t xml:space="preserve">-</w:t>
            </w:r>
            <w:r>
              <w:rPr>
                <w:rFonts w:eastAsia="楷体"/>
                <w:sz w:val="24"/>
              </w:rPr>
              <w:t xml:space="preserve">诊断分层部署”与“⑤ 资源受限场景下的验证”不再嵌套，编号顺序与 3.2.3 的步骤一致；删去“1D-CNN 对比”和“假想”字样。</w:t>
            </w:r>
          </w:p>
          <w:p w14:paraId="47ADAEB5" w14:textId="77777777" w:rsidR="00320D2D" w:rsidRDefault="00000000">
            <w:pPr>
              <w:spacing w:before="62" w:after="62" w:line="420" w:lineRule="exact"/>
              <w:jc w:val="center"/>
            </w:pPr>
            <w:r>
              <w:rPr>
                <w:rFonts w:eastAsia="楷体"/>
                <w:sz w:val="24"/>
              </w:rPr>
              <w:t xml:space="preserve">图 7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8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完成故障注入飞行数据与射频数据采集及数据集构建，开展闭环故障特征表征研究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