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r>
              <w:rPr>
                <w:rFonts w:eastAsia="楷体"/>
                <w:sz w:val="24"/>
              </w:rPr>
              <w:t xml:space="preserve">为研究内容二的属性—机理描述和本节的诊断依据文本提供依据。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pPr>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p>
          <w:p w14:paraId="596D7D5D" w14:textId="77777777" w:rsidR="00320D2D" w:rsidRDefault="00000000">
            <w:pPr>
              <w:spacing w:line="420" w:lineRule="exact"/>
              <w:ind w:firstLineChars="200" w:firstLine="480"/>
            </w:pPr>
            <w:r>
              <w:rPr>
                <w:rFonts w:eastAsia="楷体"/>
                <w:sz w:val="24"/>
              </w:rPr>
              <w:t xml:space="preserve">（4）生成式诊断微调</w:t>
            </w:r>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r>
              <w:rPr>
                <w:rFonts w:eastAsia="楷体"/>
                <w:sz w:val="24"/>
              </w:rPr>
              <w:t xml:space="preserve">训练数据中混入只输出结论的样本，使模型兼具完整解释与快速诊断两种模式。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（5）结构化解码与泛化</w:t>
            </w:r>
            <w:r>
              <w:rPr>
                <w:rFonts w:eastAsia="楷体"/>
                <w:sz w:val="24"/>
              </w:rPr>
              <w:t xml:space="preserve">。推理时采用约束解码，使各字段只能取预定义的属性值，保证输出合法。</w:t>
            </w:r>
            <w:r>
              <w:rPr>
                <w:rFonts w:eastAsia="楷体"/>
                <w:sz w:val="24"/>
              </w:rPr>
              <w:t xml:space="preserve">结论按属性逐字段生成，再结合按属性组织的机理知识，模型可以对训练中未出现的部件、轴、模式、程度组合作出判断。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（6）对比与消融实验</w:t>
            </w:r>
            <w:r>
              <w:rPr>
                <w:rFonts w:eastAsia="楷体"/>
                <w:sz w:val="24"/>
              </w:rPr>
              <w:t xml:space="preserve">。在常规、未见故障组合和小样本等评测设置下，</w:t>
            </w:r>
            <w:r>
              <w:rPr>
                <w:rFonts w:eastAsia="楷体"/>
                <w:sz w:val="24"/>
              </w:rPr>
              <w:t xml:space="preserve">与判别式分类头、基于属性原型的零样本诊断方法和纯提示大模型进行对比</w:t>
            </w:r>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p>
          <w:p w14:paraId="28CF8F7E" w14:textId="77777777" w:rsidR="00320D2D" w:rsidRDefault="00000000">
            <w:pPr>
              <w:keepNext/>
              <w:spacing w:before="120"/>
              <w:jc w:val="center"/>
            </w:pPr>
            <w:r>
              <w:rPr>
                <w:rFonts w:eastAsia="楷体"/>
                <w:sz w:val="24"/>
              </w:rPr>
              <w:t xml:space="preserve">【此处插入图 4】在原图基础上加入机理知识构建与注入：属性—机理描述一方面写入文本提示，另一方面作为诊断依据的生成规则；图中编号与 3.2.2 的步骤对应。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7】在原图基础上调整布局：“④ 检测—诊断分层部署”与“⑤ 资源受限场景下的验证”不再嵌套，编号顺序与 3.2.3 的步骤一致。</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