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所示。模型的时序编码与混合输入方式参照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r>
              <w:rPr>
                <w:rFonts w:eastAsia="楷体"/>
                <w:sz w:val="24"/>
                <w:vertAlign w:val="superscript"/>
              </w:rPr>
              <w:t xml:space="preserve">[46]</w:t>
            </w:r>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w:t>
            </w:r>
            <w:r>
              <w:rPr>
                <w:rFonts w:eastAsia="楷体"/>
                <w:sz w:val="24"/>
              </w:rPr>
              <w: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