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del w:id="9003" w:author="Claude修改建议" w:date="2026-10-21T00:00:00Z">
              <w:r>
                <w:rPr>
                  <w:rFonts w:eastAsia="楷体"/>
                  <w:sz w:val="24"/>
                </w:rPr>
                <w:delText xml:space="preserve">部件、轴向和程度组合</w:delText>
              </w:r>
            </w:del>
            <w:ins w:id="9004" w:author="Claude修改建议" w:date="2026-10-21T00:00:00Z">
              <w:r>
                <w:rPr>
                  <w:rFonts w:eastAsia="楷体"/>
                  <w:sz w:val="24"/>
                </w:rPr>
                <w:t xml:space="preserve">部件、轴向、模式和程度组合</w:t>
              </w:r>
            </w:ins>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del w:id="9005" w:author="Claude修改建议" w:date="2026-10-21T00:00:00Z">
              <w:r>
                <w:rPr>
                  <w:rFonts w:eastAsia="楷体"/>
                  <w:sz w:val="24"/>
                </w:rPr>
                <w:delText xml:space="preserve">参照文献</w:delText>
              </w:r>
            </w:del>
            <w:ins w:id="9006" w:author="Claude修改建议" w:date="2026-10-21T00:00:00Z">
              <w:r>
                <w:rPr>
                  <w:rFonts w:eastAsia="楷体"/>
                  <w:sz w:val="24"/>
                </w:rPr>
                <w:t xml:space="preserve">借鉴文献</w:t>
              </w:r>
            </w:ins>
            <w:r>
              <w:rPr>
                <w:rFonts w:eastAsia="楷体"/>
                <w:sz w:val="24"/>
                <w:vertAlign w:val="superscript"/>
              </w:rPr>
              <w:t>[43]</w:t>
            </w:r>
            <w:del w:id="9007" w:author="Claude修改建议" w:date="2026-10-21T00:00:00Z">
              <w:r>
                <w:rPr>
                  <w:rFonts w:eastAsia="楷体"/>
                  <w:sz w:val="24"/>
                </w:rPr>
                <w:delText xml:space="preserve">的信号—文本融合结构</w:delText>
              </w:r>
            </w:del>
            <w:ins w:id="9008" w:author="Claude修改建议" w:date="2026-10-21T00:00:00Z">
              <w:r>
                <w:rPr>
                  <w:rFonts w:eastAsia="楷体"/>
                  <w:sz w:val="24"/>
                </w:rPr>
                <w:t xml:space="preserve">的信号—文本融合思路</w:t>
              </w:r>
            </w:ins>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w:t>
            </w:r>
            <w:del w:id="9009" w:author="Claude修改建议" w:date="2026-10-21T00:00:00Z">
              <w:r>
                <w:rPr>
                  <w:rFonts w:eastAsia="楷体"/>
                  <w:sz w:val="24"/>
                </w:rPr>
                <w:delText xml:space="preserve">主实验采用 1.5B–4B 参数规模。</w:delText>
              </w:r>
            </w:del>
            <w:ins w:id="9010" w:author="Claude修改建议" w:date="2026-10-21T00:00:00Z">
              <w:r>
                <w:rPr>
                  <w:rFonts w:eastAsia="楷体"/>
                  <w:sz w:val="24"/>
                </w:rPr>
                <w:t xml:space="preserve">主实验采用 1.5B–4B 参数规模，并以 7B–8B 规模作为性能上界和研究内容三的教师模型。</w:t>
              </w:r>
            </w:ins>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（5）对比与消融实验。在常规、未见故障组合和小样本等评测设置下，与判别式分类头、纯提示大模型等方法进行对比，并通过消融实验检验混合输入、机理提示、依据生成和两阶段训练各自的作用。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del w:id="9011" w:author="Claude修改建议" w:date="2026-10-21T00:00:00Z">
              <w:r>
                <w:rPr>
                  <w:rFonts w:eastAsia="楷体"/>
                  <w:sz w:val="24"/>
                </w:rPr>
                <w:delText xml:space="preserve">CPU 端采用 GGUF 格式</w:delText>
              </w:r>
            </w:del>
            <w:ins w:id="9012" w:author="Claude修改建议" w:date="2026-10-21T00:00:00Z">
              <w:r>
                <w:rPr>
                  <w:rFonts w:eastAsia="楷体"/>
                  <w:sz w:val="24"/>
                </w:rPr>
                <w:t xml:space="preserve">CPU 端采用 llama.cpp 框架及其 GGUF 格式</w:t>
              </w:r>
            </w:ins>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