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并以同时钟的故障状态消息作为标签，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综合来看，多旋翼无人机故障诊断正从基于模型向数据驱动、从仿真验证向真机验证发展，小样本学习和轻量化网络也逐渐受到重视。但现有研究仍存在以下不足：一是带精确故障参数标签的多旋翼真机数据仍然稀缺，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二是多数方法仍以类别名称为生成目标，故障之间的部件、轴向、程度等结构化属性没有被显式利用，难以组合泛化到未见的故障；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本课题从故障数据集构建与闭环故障表征、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真机样本有限；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使故障标签与数据共用同一时钟。在此基础上，按统一的悬停飞行流程，分强度档位采集各类故障飞行与正常飞行数据，构建多旋翼无人机真机故障数据集。随后，面向诊断任务对数据集进行处理：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r>
              <w:rPr>
                <w:rFonts w:eastAsia="楷体"/>
                <w:b/>
                <w:bCs/>
                <w:sz w:val="24"/>
              </w:rPr>
              <w:t>（2）小样本条件下未见故障组合的泛化与诊断依据可信性问题。</w:t>
            </w:r>
          </w:p>
          <w:p w14:paraId="104A46C6" w14:textId="77777777" w:rsidR="003F4AA3" w:rsidRDefault="00000000">
            <w:pPr>
              <w:spacing w:line="420" w:lineRule="exact"/>
              <w:ind w:firstLineChars="200" w:firstLine="480"/>
            </w:pPr>
            <w:r>
              <w:rPr>
                <w:rFonts w:eastAsia="楷体"/>
                <w:sz w:val="24"/>
              </w:rPr>
              <w:t xml:space="preserve">真机故障样本获取成本高，而实际故障可能以训练中未出现的</w:t>
            </w:r>
            <w:r>
              <w:rPr>
                <w:rFonts w:eastAsia="楷体"/>
                <w:sz w:val="24"/>
              </w:rPr>
              <w:t xml:space="preserve">部件、轴向、模式和程度组合</w:t>
            </w:r>
            <w:r>
              <w:rPr>
                <w:rFonts w:eastAsia="楷体"/>
                <w:sz w:val="24"/>
              </w:rPr>
              <w:t xml:space="preserve">出现，以整体类别为输出的诊断模型难以覆盖这些组合；同时，大语言模型自由生成的解释缺乏核验手段。因此，如何使模型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（1）搭建多旋翼无人机真机故障注入实验平台，构建真机故障数据集及评测划分，并完成面向诊断任务的属性标注与诊断依据文本生成；提出面向闭环补偿的分层故障表征方法。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（3）形成兼顾泛化能力与依据质量的轻量化诊断模型及分层部署方案，在资源受限场景下以较低的显存占用和推理时延实现在线故障诊断。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并开展真机故障注入飞行实验获取数据；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多旋翼无人机故障注入数据集构建与闭环故障特征表征方法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使故障标签与数据共用同一时钟。</w:t>
            </w:r>
          </w:p>
          <w:p w14:paraId="585FB0E8" w14:textId="77777777" w:rsidR="003F4AA3" w:rsidRDefault="00000000">
            <w:pPr>
              <w:spacing w:line="420" w:lineRule="exact"/>
              <w:ind w:firstLineChars="200" w:firstLine="480"/>
            </w:pPr>
            <w:r>
              <w:rPr>
                <w:rFonts w:eastAsia="楷体"/>
                <w:sz w:val="24"/>
              </w:rPr>
              <w:t>（2）采集故障飞行数据。按统一的悬停飞行流程采集数据：每轮先悬停一段时间作为本轮基线，再注入故障并持续观测。各类故障按强度档位分别采集，并穿插采集正常飞行数据。除常规飞行数据外，同时记录状态估计器的新息、检验比和零偏估计等内部量。</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文档与相关文献编写，并以实测显著性结果逐条核验；诊断依据文本由程序按固定模板从数据计算生成，可逐句回溯到具体数值与检验结果。最后按飞行轮次划分常规、未见故障组合和小样本等评测设置。</w:t>
            </w:r>
          </w:p>
          <w:p w14:paraId="67A63AC1" w14:textId="77777777" w:rsidR="003F4AA3" w:rsidRDefault="00000000">
            <w:pPr>
              <w:spacing w:line="420" w:lineRule="exact"/>
              <w:ind w:firstLineChars="200" w:firstLine="480"/>
            </w:pPr>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创新点：（1）构建故障标签与飞行数据同时钟、包含估计器内部量的多旋翼无人机真机故障注入数据集；（2）提出以控制层、估计层特征和自参考差分为核心的面向闭环补偿的分层故障表征方法。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电机故障下各层通道的响应与可检测性（待绘制）</w:t>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w:t>
            </w:r>
            <w:r>
              <w:rPr>
                <w:rFonts w:eastAsia="楷体"/>
                <w:sz w:val="24"/>
              </w:rPr>
              <w:t xml:space="preserve">借鉴文献</w:t>
            </w:r>
            <w:r>
              <w:rPr>
                <w:rFonts w:eastAsia="楷体"/>
                <w:sz w:val="24"/>
                <w:vertAlign w:val="superscript"/>
              </w:rPr>
              <w:t>[43]</w:t>
            </w:r>
            <w:r>
              <w:rPr>
                <w:rFonts w:eastAsia="楷体"/>
                <w:sz w:val="24"/>
              </w:rPr>
              <w:t xml:space="preserve">的信号—文本融合思路</w:t>
            </w:r>
            <w:r>
              <w:rPr>
                <w:rFonts w:eastAsia="楷体"/>
                <w:sz w:val="24"/>
              </w:rPr>
              <w:t xml:space="preserve">，代码基于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w:t>
            </w:r>
            <w:r>
              <w:rPr>
                <w:rFonts w:eastAsia="楷体"/>
                <w:sz w:val="24"/>
              </w:rPr>
              <w:t xml:space="preserve">主实验采用 1.5B–4B 参数规模，并以 7B–8B 规模作为性能上界和研究内容三的教师模型。</w:t>
            </w:r>
            <w:r>
              <w:rPr>
                <w:rFonts w:eastAsia="楷体"/>
                <w:sz w:val="24"/>
              </w:rPr>
              <w:t xml:space="preserve">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14:paraId="596D7D5D" w14:textId="77777777" w:rsidR="00320D2D" w:rsidRDefault="00000000">
            <w:pPr>
              <w:spacing w:line="420" w:lineRule="exact"/>
              <w:ind w:firstLineChars="200" w:firstLine="480"/>
            </w:pPr>
            <w:r>
              <w:rPr>
                <w:rFonts w:eastAsia="楷体"/>
                <w:sz w:val="24"/>
              </w:rPr>
              <w:t>（3）生成式诊断微调。第二阶段以低秩适配（LoRA）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t>
            </w:r>
          </w:p>
          <w:p w14:paraId="586F4CC6" w14:textId="77777777" w:rsidR="00320D2D" w:rsidRDefault="00000000">
            <w:pPr>
              <w:spacing w:line="420" w:lineRule="exact"/>
              <w:ind w:firstLineChars="200" w:firstLine="480"/>
            </w:pPr>
            <w:r>
              <w:rPr>
                <w:rFonts w:eastAsia="楷体"/>
                <w:sz w:val="24"/>
              </w:rPr>
              <w:t>（4）结构化解码与泛化。推理时采用约束解码，使各字段只能取预定义的属性值，保证输出合法。由于诊断被分解为属性逐字段生成，模型能够对训练中未出现的部件、轴、模式、程度组合作出判断。</w:t>
            </w:r>
          </w:p>
          <w:p w14:paraId="40E128AA" w14:textId="77777777" w:rsidR="00320D2D" w:rsidRDefault="00000000">
            <w:pPr>
              <w:spacing w:line="420" w:lineRule="exact"/>
              <w:ind w:firstLineChars="200" w:firstLine="480"/>
            </w:pPr>
            <w:r>
              <w:rPr>
                <w:rFonts w:eastAsia="楷体"/>
                <w:sz w:val="24"/>
              </w:rPr>
              <w:t>（5）对比与消融实验。在常规、未见故障组合和小样本等评测设置下，与判别式分类头、纯提示大模型等方法进行对比，并通过消融实验检验混合输入、机理提示、依据生成和两阶段训练各自的作用。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创新点：（1）提出面向未见故障组合的属性化结构化生成式诊断方法，按部件、轴、模式、程度逐字段生成，并以约束解码保证输出合法；（2）以由数据计算的诊断依据作为生成目标，使诊断结论可逐句核验。</w:t>
            </w:r>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（1）构建师生模型。以研究内容二中性能最优的诊断模型为教师，选取同系列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w:t>
            </w:r>
            <w:r>
              <w:rPr>
                <w:rFonts w:eastAsia="楷体"/>
                <w:sz w:val="24"/>
              </w:rPr>
              <w:t xml:space="preserve">CPU 端采用 llama.cpp 框架及其 GGUF 格式</w:t>
            </w:r>
            <w:r>
              <w:rPr>
                <w:rFonts w:eastAsia="楷体"/>
                <w:sz w:val="24"/>
              </w:rPr>
              <w:t xml:space="preserve">。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2）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我校实验室均配备了高配置的电脑，方便查阅资料及仿真分析，并建立了科研群，方便资料及经验的交流和讨论，能有效促进课题的研究。课题研究所需要的仪器设备均已配备，可以开展实验研究。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完成故障注入飞行数据采集与数据集构建，开展闭环故障特征表征研究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