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大语言模型参数量大、推理时延长，难以在机载等资源受限场景运行。为此，本研究以研究内容（2）的模型为教师，</w:t>
            </w:r>
            <w:r>
              <w:rPr>
                <w:rFonts w:eastAsia="楷体"/>
                <w:sz w:val="24"/>
              </w:rPr>
              <w:t xml:space="preserve">采用依据与结论多任务的知识蒸馏（以核验程序筛选教师输出）和训练后量化压缩模型</w:t>
            </w:r>
            <w:r>
              <w:rPr>
                <w:rFonts w:eastAsia="楷体"/>
                <w:sz w:val="24"/>
              </w:rPr>
              <w: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 xml:space="preserve">（2）依据与结论多任务蒸馏。</w:t>
            </w:r>
            <w:r>
              <w:rPr>
                <w:rFonts w:eastAsia="楷体"/>
                <w:sz w:val="24"/>
              </w:rPr>
              <w: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t>
            </w:r>
            <w:r>
              <w:rPr>
                <w:rFonts w:eastAsia="楷体"/>
                <w:sz w:val="24"/>
              </w:rPr>
              <w:t xml:space="preserve">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w:t>
            </w:r>
            <w:r>
              <w:rPr>
                <w:rFonts w:eastAsia="楷体"/>
                <w:sz w:val="24"/>
              </w:rPr>
              <w:t xml:space="preserve">学生在同一输入前加上不同的模式指令（与研究内容二相同）</w:t>
            </w:r>
            <w:r>
              <w:rPr>
                <w:rFonts w:eastAsia="楷体"/>
                <w:sz w:val="24"/>
              </w:rPr>
              <w:t xml:space="preserve">，分别学习输出结论和输出依据，从而同样具备快速诊断和完整解释两种模式。</w:t>
            </w:r>
            <w:r>
              <w:rPr>
                <w:rFonts w:eastAsia="楷体"/>
                <w:sz w:val="24"/>
              </w:rPr>
              <w: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w:t>
            </w:r>
            <w:r>
              <w:rPr>
                <w:rFonts w:eastAsia="楷体"/>
                <w:sz w:val="24"/>
              </w:rPr>
              <w:t xml:space="preserve">输入侧在研究内容二的基础上降低采样率，减少时序 token 数量；</w:t>
            </w:r>
            <w:r>
              <w:rPr>
                <w:rFonts w:eastAsia="楷体"/>
                <w:sz w:val="24"/>
              </w:rPr>
              <w:t xml:space="preserve">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 xml:space="preserve">。完整模式输出较长，因此限制依据长度是降低时延的主要手段；快速模式只输出几十个词元，输入长度的影响相对增大，因此同时压缩输入。</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（4）构建检测—诊断分层部署架构。轻量检测器常驻运行，对新息、检验比和电机指令不平衡量等指标进行统计检验，</w:t>
            </w:r>
            <w:r>
              <w:rPr>
                <w:rFonts w:eastAsia="楷体"/>
                <w:sz w:val="24"/>
              </w:rPr>
              <w:t xml:space="preserve">判断当前窗口是否异常。</w:t>
            </w:r>
            <w:r>
              <w:rPr>
                <w:rFonts w:eastAsia="楷体"/>
                <w:sz w:val="24"/>
              </w:rPr>
              <w:t xml:space="preserve">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w:t>
            </w:r>
            <w:r>
              <w:rPr>
                <w:rFonts w:eastAsia="楷体"/>
                <w:sz w:val="24"/>
              </w:rPr>
              <w:t xml:space="preserve">为参照平台</w:t>
            </w:r>
            <w:r>
              <w:rPr>
                <w:rFonts w:eastAsia="楷体"/>
                <w:sz w:val="24"/>
              </w:rPr>
              <w: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（1）提出依据可核验的多任务蒸馏方法，以核验程序筛选教师输出作为蒸馏目标，使学生模型在压缩后仍保持对未见故障组合的泛化能力和可核验的诊断依据；</w:t>
            </w:r>
            <w:r>
              <w:rPr>
                <w:rFonts w:eastAsia="楷体"/>
                <w:sz w:val="24"/>
              </w:rPr>
              <w:t xml:space="preserve">（2）构建“检测器常驻、异常触发诊断、按需输出依据”的检测—诊断分层部署架构，降低资源受限场景下的平均推理开销。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