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并以同时钟的故障状态消息作为标签，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综合来看，多旋翼无人机故障诊断正从基于模型向数据驱动、从仿真验证向真机验证发展，小样本学习和轻量化网络也逐渐受到重视。但现有研究仍存在以下不足：一是带精确故障参数标签的多旋翼真机数据仍然稀缺，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二是多数方法仍以类别名称为生成目标，故障之间的部件、轴向、程度等结构化属性没有被显式利用，难以组合泛化到未见的故障；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del w:id="9001" w:author="Claude修改建议" w:date="2026-10-21T00:00:00Z">
              <w:r>
                <w:rPr>
                  <w:rFonts w:eastAsia="楷体"/>
                  <w:sz w:val="24"/>
                </w:rPr>
                <w:delText xml:space="preserve">；AWQ</w:delText>
              </w:r>
            </w:del>
            <w:ins w:id="9002" w:author="Claude修改建议" w:date="2026-10-21T00:00:00Z">
              <w:r>
                <w:rPr>
                  <w:rFonts w:eastAsia="楷体"/>
                  <w:sz w:val="24"/>
                </w:rPr>
                <w:t xml:space="preserve">；激活感知权重量化（Activation-aware Weight Quantization, AWQ）</w:t>
              </w:r>
            </w:ins>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本课题从故障数据集构建与闭环故障表征、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真机样本有限；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使故障标签与数据共用同一时钟。在此基础上，按统一的悬停飞行流程，分强度档位采集各类故障飞行与正常飞行数据，构建多旋翼无人机真机故障数据集。随后，面向诊断任务对数据集进行处理：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r>
              <w:rPr>
                <w:rFonts w:eastAsia="楷体"/>
                <w:sz w:val="24"/>
              </w:rPr>
              <w:t>真机故障样本有限、故障组合开放，诊断难以泛化，结论也难以解释。为解决这一问题，本研究将分层故障表征编码为时序嵌入，与统计摘要文本一同输入大语言模型，通过两阶段训练实现时序与语义空间的对齐，并以故障机理描述作为先验知识。模型先生成诊断依据，再按属性逐字段生成结构化诊断结论，从而对训练中未出现的故障组合作出判断，并给出可核验的诊断依据。</w:t>
            </w:r>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（1）闭环补偿与状态估计下故障特征被掩盖的问题。</w:t>
            </w:r>
          </w:p>
          <w:p w14:paraId="0EC56988" w14:textId="77777777" w:rsidR="003F4AA3" w:rsidRDefault="00000000">
            <w:pPr>
              <w:spacing w:line="420" w:lineRule="exact"/>
              <w:ind w:firstLineChars="200" w:firstLine="480"/>
            </w:pPr>
            <w:r>
              <w:rPr>
                <w:rFonts w:eastAsia="楷体"/>
                <w:sz w:val="24"/>
              </w:rPr>
              <w:t>多旋翼无人机在闭环控制下运行，控制器会自动补偿执行器故障的外在表现，状态估计器会平滑并抑制异常测量，使原始传感器信号上的故障痕迹微弱，且随风况、电量等飞行条件变化。因此，如何构造对故障敏感、对飞行间差异鲁棒的特征表征，是本论文的一个关键问题。</w:t>
            </w:r>
          </w:p>
          <w:p w14:paraId="466E4B44" w14:textId="77777777" w:rsidR="003F4AA3" w:rsidRDefault="00000000">
            <w:pPr>
              <w:spacing w:line="420" w:lineRule="exact"/>
              <w:ind w:firstLineChars="200" w:firstLine="482"/>
            </w:pPr>
            <w:r>
              <w:rPr>
                <w:rFonts w:eastAsia="楷体"/>
                <w:b/>
                <w:bCs/>
                <w:sz w:val="24"/>
              </w:rPr>
              <w:t>（2）小样本条件下未见故障组合的泛化与诊断依据可信性问题。</w:t>
            </w:r>
          </w:p>
          <w:p w14:paraId="104A46C6" w14:textId="77777777" w:rsidR="003F4AA3" w:rsidRDefault="00000000">
            <w:pPr>
              <w:spacing w:line="420" w:lineRule="exact"/>
              <w:ind w:firstLineChars="200" w:firstLine="480"/>
            </w:pPr>
            <w:r>
              <w:rPr>
                <w:rFonts w:eastAsia="楷体"/>
                <w:sz w:val="24"/>
              </w:rPr>
              <w:t xml:space="preserve">真机故障样本获取成本高，而实际故障可能以训练中未出现的</w:t>
            </w:r>
            <w:del w:id="9003" w:author="Claude修改建议" w:date="2026-10-21T00:00:00Z">
              <w:r>
                <w:rPr>
                  <w:rFonts w:eastAsia="楷体"/>
                  <w:sz w:val="24"/>
                </w:rPr>
                <w:delText xml:space="preserve">部件、轴向和程度组合</w:delText>
              </w:r>
            </w:del>
            <w:ins w:id="9004" w:author="Claude修改建议" w:date="2026-10-21T00:00:00Z">
              <w:r>
                <w:rPr>
                  <w:rFonts w:eastAsia="楷体"/>
                  <w:sz w:val="24"/>
                </w:rPr>
                <w:t xml:space="preserve">部件、轴向、模式和程度组合</w:t>
              </w:r>
            </w:ins>
            <w:r>
              <w:rPr>
                <w:rFonts w:eastAsia="楷体"/>
                <w:sz w:val="24"/>
              </w:rPr>
              <w:t xml:space="preserve">出现，以整体类别为输出的诊断模型难以覆盖这些组合；同时，大语言模型自由生成的解释缺乏核验手段。因此，如何使模型在少量样本下泛化到未见故障组合，并给出可核验的诊断依据，是本论文的一个关键问题。</w:t>
            </w:r>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（1）搭建多旋翼无人机真机故障注入实验平台，构建真机故障数据集及评测划分，并完成面向诊断任务的属性标注与诊断依据文本生成；提出面向闭环补偿的分层故障表征方法。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（3）形成兼顾泛化能力与依据质量的轻量化诊断模型及分层部署方案，在资源受限场景下以较低的显存占用和推理时延实现在线故障诊断。</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并开展真机故障注入飞行实验获取数据；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r>
              <w:rPr>
                <w:noProof/>
              </w:rPr>
              <w:drawing>
                <wp:inline distT="0" distB="0" distL="0" distR="0" wp14:anchorId="69BC9247" wp14:editId="024492BA">
                  <wp:extent cx="5040000" cy="3376252"/>
                  <wp:effectExtent l="0" t="0" r="0" b="0"/>
                  <wp:docPr id="2001" name="图 1 总体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rIdFig1.png"/>
                          <pic:cNvPicPr>
                            <a:picLocks noChangeAspect="1"/>
                          </pic:cNvPicPr>
                        </pic:nvPicPr>
                        <pic:blipFill>
                          <a:blip r:embed="rId7"/>
                          <a:stretch>
                            <a:fillRect/>
                          </a:stretch>
                        </pic:blipFill>
                        <pic:spPr>
                          <a:xfrm>
                            <a:off x="0" y="0"/>
                            <a:ext cx="5040000" cy="3376252"/>
                          </a:xfrm>
                          <a:prstGeom prst="rect">
                            <a:avLst/>
                          </a:prstGeom>
                        </pic:spPr>
                      </pic:pic>
                    </a:graphicData>
                  </a:graphic>
                </wp:inline>
              </w:drawing>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多旋翼无人机故障注入数据集构建与闭环故障特征表征方法</w:t>
            </w:r>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使故障标签与数据共用同一时钟。</w:t>
            </w:r>
          </w:p>
          <w:p w14:paraId="585FB0E8" w14:textId="77777777" w:rsidR="003F4AA3" w:rsidRDefault="00000000">
            <w:pPr>
              <w:spacing w:line="420" w:lineRule="exact"/>
              <w:ind w:firstLineChars="200" w:firstLine="480"/>
            </w:pPr>
            <w:r>
              <w:rPr>
                <w:rFonts w:eastAsia="楷体"/>
                <w:sz w:val="24"/>
              </w:rPr>
              <w:t>（2）采集故障飞行数据。按统一的悬停飞行流程采集数据：每轮先悬停一段时间作为本轮基线，再注入故障并持续观测。各类故障按强度档位分别采集，并穿插采集正常飞行数据。除常规飞行数据外，同时记录状态估计器的新息、检验比和零偏估计等内部量。</w:t>
            </w:r>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建立属性—机理描述表，并由数据计算各通道相对基线的变化，生成逐样本的诊断依据文本。属性—机理描述依据 PX4 文档与相关文献编写，并以实测显著性结果逐条核验；诊断依据文本由程序按固定模板从数据计算生成，可逐句回溯到具体数值与检验结果。最后按飞行轮次划分常规、未见故障组合和小样本等评测设置。</w:t>
            </w:r>
          </w:p>
          <w:p w14:paraId="67A63AC1" w14:textId="77777777" w:rsidR="003F4AA3" w:rsidRDefault="00000000">
            <w:pPr>
              <w:spacing w:line="420" w:lineRule="exact"/>
              <w:ind w:firstLineChars="200" w:firstLine="480"/>
            </w:pPr>
            <w:r>
              <w:rPr>
                <w:rFonts w:eastAsia="楷体"/>
                <w:sz w:val="24"/>
              </w:rPr>
              <w:t>（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用于属性—机理描述和诊断依据文本的组织。</w:t>
            </w:r>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创新点：（1）构建故障标签与飞行数据同时钟、包含估计器内部量的多旋翼无人机真机故障注入数据集；（2）提出以控制层、估计层特征和自参考差分为核心的面向闭环补偿的分层故障表征方法。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r>
              <w:rPr>
                <w:noProof/>
              </w:rPr>
              <w:drawing>
                <wp:inline distT="0" distB="0" distL="0" distR="0" wp14:anchorId="15BD474C" wp14:editId="1964E10A">
                  <wp:extent cx="5040000" cy="4317823"/>
                  <wp:effectExtent l="0" t="0" r="0" b="0"/>
                  <wp:docPr id="2002" name="图 2 实验平台搭建与数据集构建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rIdFig2.png"/>
                          <pic:cNvPicPr>
                            <a:picLocks noChangeAspect="1"/>
                          </pic:cNvPicPr>
                        </pic:nvPicPr>
                        <pic:blipFill>
                          <a:blip r:embed="rId8"/>
                          <a:stretch>
                            <a:fillRect/>
                          </a:stretch>
                        </pic:blipFill>
                        <pic:spPr>
                          <a:xfrm>
                            <a:off x="0" y="0"/>
                            <a:ext cx="5040000" cy="4317823"/>
                          </a:xfrm>
                          <a:prstGeom prst="rect">
                            <a:avLst/>
                          </a:prstGeom>
                        </pic:spPr>
                      </pic:pic>
                    </a:graphicData>
                  </a:graphic>
                </wp:inline>
              </w:drawing>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电机故障下各层通道的响应与可检测性（待绘制）</w:t>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所示。模型参照文献</w:t>
            </w:r>
            <w:r>
              <w:rPr>
                <w:rFonts w:eastAsia="楷体"/>
                <w:sz w:val="24"/>
                <w:vertAlign w:val="superscript"/>
              </w:rPr>
              <w:t>[43]</w:t>
            </w:r>
            <w:r>
              <w:rPr>
                <w:rFonts w:eastAsia="楷体"/>
                <w:sz w:val="24"/>
              </w:rPr>
              <w:t xml:space="preserve">的信号—文本融合结构，代码基于 ChatTS</w:t>
            </w:r>
            <w:r>
              <w:rPr>
                <w:rFonts w:eastAsia="楷体"/>
                <w:sz w:val="24"/>
                <w:vertAlign w:val="superscript"/>
              </w:rPr>
              <w:t>[39]</w:t>
            </w:r>
            <w:r>
              <w:rPr>
                <w:rFonts w:eastAsia="楷体"/>
                <w:sz w:val="24"/>
              </w:rPr>
              <w:t xml:space="preserve"> 的开源实现，具体步骤如下。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（1）构建时序—文本混合输入。将研究内容一得到的分层故障表征按通道切分为时序片段，由轻量分块编码器映射为时序 token，并附加通道名与层级标识。同时，由窗口统计量生成统计摘要文本，与任务描述、属性—机理描述一同构成文本提示。时序 token 替换提示中的占位符，与文本 token 一起输入大语言模型。</w:t>
            </w:r>
          </w:p>
          <w:p w14:paraId="337638CA" w14:textId="77777777" w:rsidR="00320D2D" w:rsidRDefault="00000000">
            <w:pPr>
              <w:spacing w:line="420" w:lineRule="exact"/>
              <w:ind w:firstLineChars="200" w:firstLine="480"/>
            </w:pPr>
            <w:r>
              <w:rPr>
                <w:rFonts w:eastAsia="楷体"/>
                <w:sz w:val="24"/>
              </w:rPr>
              <w:t xml:space="preserve">（2）时序—语义对齐训练。以 Qwen 系列开源大语言模型为基座，主实验采用 1.5B–4B 参数规模。第一阶段冻结大语言模型，只训练编码器与投影层，使时序特征与语言语义空间对齐。训练数据包括 ChatTS 公开的合成时序描述数据，以及由研究内容一的模板自动生成的“信号—描述”对。ChatTS 的合成方法如图 5 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t>
            </w:r>
          </w:p>
          <w:p w14:paraId="596D7D5D" w14:textId="77777777" w:rsidR="00320D2D" w:rsidRDefault="00000000">
            <w:pPr>
              <w:spacing w:line="420" w:lineRule="exact"/>
              <w:ind w:firstLineChars="200" w:firstLine="480"/>
            </w:pPr>
            <w:r>
              <w:rPr>
                <w:rFonts w:eastAsia="楷体"/>
                <w:sz w:val="24"/>
              </w:rPr>
              <w:t>（3）生成式诊断微调。第二阶段以低秩适配（LoRA）</w:t>
            </w:r>
            <w:r>
              <w:rPr>
                <w:rFonts w:eastAsia="楷体"/>
                <w:sz w:val="24"/>
                <w:vertAlign w:val="superscript"/>
              </w:rPr>
              <w:t>[46]</w:t>
            </w:r>
            <w:r>
              <w:rPr>
                <w:rFonts w:eastAsia="楷体"/>
                <w:sz w:val="24"/>
              </w:rPr>
              <w:t xml:space="preserve">微调大语言模型，编码器同时训练。LoRA 的原理如图 6 所示：冻结预训练权重 W，在其旁路并联两个低秩矩阵 A 和 B，训练时只更新 A、B，从而以少量可训练参数完成微调，降低显存需求。训练目标为先生成诊断依据，再逐字段生成部件、轴、模式、程度等结构化结论。训练数据中混入只输出结论的样本，使模型兼具完整解释与快速诊断两种模式。同时将 LoRA 与全参数微调进行对比。</w:t>
            </w:r>
          </w:p>
          <w:p w14:paraId="586F4CC6" w14:textId="77777777" w:rsidR="00320D2D" w:rsidRDefault="00000000">
            <w:pPr>
              <w:spacing w:line="420" w:lineRule="exact"/>
              <w:ind w:firstLineChars="200" w:firstLine="480"/>
            </w:pPr>
            <w:r>
              <w:rPr>
                <w:rFonts w:eastAsia="楷体"/>
                <w:sz w:val="24"/>
              </w:rPr>
              <w:t>（4）结构化解码与泛化。推理时采用约束解码，使各字段只能取预定义的属性值，保证输出合法。由于诊断被分解为属性逐字段生成，模型能够对训练中未出现的部件、轴、模式、程度组合作出判断。</w:t>
            </w:r>
          </w:p>
          <w:p w14:paraId="40E128AA" w14:textId="77777777" w:rsidR="00320D2D" w:rsidRDefault="00000000">
            <w:pPr>
              <w:spacing w:line="420" w:lineRule="exact"/>
              <w:ind w:firstLineChars="200" w:firstLine="480"/>
            </w:pPr>
            <w:r>
              <w:rPr>
                <w:rFonts w:eastAsia="楷体"/>
                <w:sz w:val="24"/>
              </w:rPr>
              <w:t>（5）对比与消融实验。在常规、未见故障组合和小样本等评测设置下，与判别式分类头、纯提示大模型等方法进行对比，并通过消融实验检验混合输入、机理提示、依据生成和两阶段训练各自的作用。</w:t>
            </w:r>
          </w:p>
          <w:p w14:paraId="18E1C858" w14:textId="77777777" w:rsidR="00320D2D" w:rsidRDefault="00000000">
            <w:pPr>
              <w:spacing w:line="420" w:lineRule="exact"/>
              <w:ind w:firstLineChars="200" w:firstLine="480"/>
            </w:pPr>
            <w:r>
              <w:rPr>
                <w:rFonts w:eastAsia="楷体"/>
                <w:sz w:val="24"/>
              </w:rPr>
              <w:t>创新点：（1）提出面向未见故障组合的属性化结构化生成式诊断方法，按部件、轴、模式、程度逐字段生成，并以约束解码保证输出合法；（2）以由数据计算的诊断依据作为生成目标，使诊断结论可逐句核验。</w:t>
            </w:r>
          </w:p>
          <w:p w14:paraId="28CF8F7E" w14:textId="77777777" w:rsidR="00320D2D" w:rsidRDefault="00000000">
            <w:pPr>
              <w:keepNext/>
              <w:spacing w:before="120"/>
              <w:jc w:val="center"/>
            </w:pPr>
            <w:r>
              <w:rPr>
                <w:noProof/>
              </w:rPr>
              <w:drawing>
                <wp:inline distT="0" distB="0" distL="0" distR="0" wp14:anchorId="4E19F979" wp14:editId="558483AD">
                  <wp:extent cx="5040000" cy="3098960"/>
                  <wp:effectExtent l="0" t="0" r="0" b="0"/>
                  <wp:docPr id="2003" name="图 4 时序—文本融合的生成式诊断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rIdFig3.png"/>
                          <pic:cNvPicPr>
                            <a:picLocks noChangeAspect="1"/>
                          </pic:cNvPicPr>
                        </pic:nvPicPr>
                        <pic:blipFill>
                          <a:blip r:embed="rId9"/>
                          <a:stretch>
                            <a:fillRect/>
                          </a:stretch>
                        </pic:blipFill>
                        <pic:spPr>
                          <a:xfrm>
                            <a:off x="0" y="0"/>
                            <a:ext cx="5040000" cy="3098960"/>
                          </a:xfrm>
                          <a:prstGeom prst="rect">
                            <a:avLst/>
                          </a:prstGeom>
                        </pic:spPr>
                      </pic:pic>
                    </a:graphicData>
                  </a:graphic>
                </wp:inline>
              </w:drawing>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（1）构建师生模型。以研究内容二中性能最优的诊断模型为教师，选取同系列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等方法，CPU 端采用 GGUF 格式。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r>
              <w:rPr>
                <w:noProof/>
              </w:rPr>
              <w:drawing>
                <wp:inline distT="0" distB="0" distL="0" distR="0" wp14:anchorId="1BBD9063" wp14:editId="5258DCE4">
                  <wp:extent cx="5040000" cy="3833325"/>
                  <wp:effectExtent l="0" t="0" r="0" b="0"/>
                  <wp:docPr id="2007" name="图 7 诊断模型轻量化与分层部署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rIdFig7.png"/>
                          <pic:cNvPicPr>
                            <a:picLocks noChangeAspect="1"/>
                          </pic:cNvPicPr>
                        </pic:nvPicPr>
                        <pic:blipFill>
                          <a:blip r:embed="rId12"/>
                          <a:stretch>
                            <a:fillRect/>
                          </a:stretch>
                        </pic:blipFill>
                        <pic:spPr>
                          <a:xfrm>
                            <a:off x="0" y="0"/>
                            <a:ext cx="5040000" cy="3833325"/>
                          </a:xfrm>
                          <a:prstGeom prst="rect">
                            <a:avLst/>
                          </a:prstGeom>
                        </pic:spPr>
                      </pic:pic>
                    </a:graphicData>
                  </a:graphic>
                </wp:inline>
              </w:drawing>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2）真机故障注入平台已搭建完成并通过试飞验证，可按设定强度注入电机与传感器故障，故障标签与飞行数据同时钟记录，为数据采集提供了保障；对已采集数据的初步分析表明，电机故障在控制层表现明显，支持分层表征的研究思路。</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r>
              <w:rPr>
                <w:rFonts w:eastAsia="楷体"/>
                <w:sz w:val="24"/>
              </w:rPr>
              <w:t>我校实验室均配备了高配置的电脑，方便查阅资料及仿真分析，并建立了科研群，方便资料及经验的交流和讨论，能有效促进课题的研究。课题研究所需要的仪器设备均已配备，可以开展实验研究。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完成故障注入飞行数据采集与数据集构建，开展闭环故障特征表征研究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（2）通过搭建多旋翼无人机故障注入实验平台并完成试飞验证，熟悉了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