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commentRangeStart w:id="0"/>
      <w:r>
        <w:rPr>
          <w:rFonts w:ascii="仿宋_GB2312" w:eastAsia="仿宋_GB2312" w:hint="eastAsia"/>
          <w:sz w:val="28"/>
          <w:szCs w:val="28"/>
        </w:rPr>
        <w:t>课 题 名 称  ：</w:t>
      </w:r>
      <w:r>
        <w:rPr>
          <w:rFonts w:ascii="仿宋_GB2312" w:eastAsia="仿宋_GB2312" w:hint="eastAsia"/>
          <w:sz w:val="32"/>
          <w:u w:val="single"/>
        </w:rPr>
        <w:t xml:space="preserve">                   </w:t>
      </w:r>
      <w:commentRangeEnd w:id="0"/>
      <w:r>
        <w:rPr>
          <w:rStyle w:val="CommentReference"/>
        </w:rPr>
        <w:commentReference w:id="0"/>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commentRangeStart w:id="12"/>
            <w:r>
              <w:rPr>
                <w:rFonts w:eastAsia="楷体"/>
                <w:szCs w:val="21"/>
              </w:rPr>
              <w:t>[57]</w:t>
              <w:tab/>
              <w:t xml:space="preserve">Kubwimana B, Huang Q. EdgeReasoning: characterizing reasoning LLM deployment on edge GPUs[EB/OL]. (2025-10-21)[2026-10-18]. https://arxiv.org/abs/2511.01866.</w:t>
            </w:r>
            <w:commentRangeEnd w:id="12"/>
            <w:r>
              <w:rPr>
                <w:rStyle w:val="CommentReference"/>
              </w:rPr>
              <w:commentReference w:id="12"/>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commentRangeStart w:id="1"/>
            <w:r>
              <w:rPr>
                <w:rFonts w:eastAsia="楷体"/>
                <w:sz w:val="24"/>
              </w:rPr>
              <w:t xml:space="preserve">（2）融合</w:t>
            </w:r>
            <w:del w:id="9005" w:author="Claude修改建议" w:date="2026-10-21T00:00:00Z">
              <w:r>
                <w:rPr>
                  <w:rFonts w:eastAsia="楷体"/>
                  <w:sz w:val="24"/>
                </w:rPr>
                <w:delText xml:space="preserve">时序</w:delText>
              </w:r>
            </w:del>
            <w:del w:id="9006" w:author="Claude修改建议" w:date="2026-10-21T00:00:00Z">
              <w:r>
                <w:rPr>
                  <w:rFonts w:eastAsia="楷体" w:hint="eastAsia"/>
                  <w:sz w:val="24"/>
                </w:rPr>
                <w:delText xml:space="preserve">-</w:delText>
              </w:r>
            </w:del>
            <w:del w:id="9007" w:author="Claude修改建议" w:date="2026-10-21T00:00:00Z">
              <w:r>
                <w:rPr>
                  <w:rFonts w:eastAsia="楷体"/>
                  <w:sz w:val="24"/>
                </w:rPr>
                <w:delText xml:space="preserve">语义</w:delText>
              </w:r>
            </w:del>
            <w:ins w:id="9008" w:author="Claude修改建议" w:date="2026-10-21T00:00:00Z">
              <w:r>
                <w:rPr>
                  <w:rFonts w:eastAsia="楷体"/>
                  <w:sz w:val="24"/>
                </w:rPr>
                <w:t xml:space="preserve">时序—语义</w:t>
              </w:r>
            </w:ins>
            <w:r>
              <w:rPr>
                <w:rFonts w:eastAsia="楷体"/>
                <w:sz w:val="24"/>
              </w:rPr>
              <w:t xml:space="preserve">对齐与机理知识的大语言模型生成式故障诊断方法</w:t>
            </w:r>
            <w:r>
              <w:rPr>
                <w:rFonts w:eastAsia="楷体" w:hint="eastAsia"/>
                <w:sz w:val="24"/>
              </w:rPr>
              <w:t>研究</w:t>
            </w:r>
            <w:commentRangeEnd w:id="1"/>
            <w:r>
              <w:rPr>
                <w:rStyle w:val="CommentReference"/>
              </w:rPr>
              <w:commentReference w:id="1"/>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del w:id="9003" w:author="Claude修改建议" w:date="2026-10-21T00:00:00Z">
              <w:r>
                <w:rPr>
                  <w:rFonts w:eastAsia="楷体"/>
                  <w:sz w:val="24"/>
                </w:rPr>
                <w:delText xml:space="preserve">部件、轴向和程度组合</w:delText>
              </w:r>
            </w:del>
            <w:ins w:id="9004" w:author="Claude修改建议" w:date="2026-10-21T00:00:00Z">
              <w:r>
                <w:rPr>
                  <w:rFonts w:eastAsia="楷体"/>
                  <w:sz w:val="24"/>
                </w:rPr>
                <w:t xml:space="preserve">部件、轴向、模式和程度组合</w:t>
              </w:r>
            </w:ins>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commentRangeStart w:id="3"/>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commentRangeEnd w:id="3"/>
            <w:r>
              <w:rPr>
                <w:rStyle w:val="CommentReference"/>
              </w:rPr>
              <w:commentReference w:id="3"/>
            </w:r>
          </w:p>
          <w:p w14:paraId="6A12A08D" w14:textId="77777777" w:rsidR="003F4AA3" w:rsidRDefault="00000000">
            <w:pPr>
              <w:spacing w:line="420" w:lineRule="exact"/>
              <w:ind w:firstLineChars="200" w:firstLine="480"/>
            </w:pPr>
            <w:commentRangeStart w:id="2"/>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commentRangeEnd w:id="2"/>
            <w:r>
              <w:rPr>
                <w:rStyle w:val="CommentReference"/>
              </w:rPr>
              <w:commentReference w:id="2"/>
            </w:r>
          </w:p>
          <w:p w14:paraId="67A63AC1" w14:textId="77777777" w:rsidR="003F4AA3" w:rsidRDefault="00000000">
            <w:pPr>
              <w:spacing w:line="420" w:lineRule="exact"/>
              <w:ind w:firstLineChars="200" w:firstLine="480"/>
            </w:pPr>
            <w:commentRangeStart w:id="4"/>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4"/>
            <w:r>
              <w:rPr>
                <w:rStyle w:val="CommentReference"/>
              </w:rPr>
              <w:commentReference w:id="4"/>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commentRangeStart w:id="5"/>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commentRangeEnd w:id="5"/>
            <w:r>
              <w:rPr>
                <w:rStyle w:val="CommentReference"/>
              </w:rPr>
              <w:commentReference w:id="5"/>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commentRangeStart w:id="6"/>
            <w:r>
              <w:rPr>
                <w:rFonts w:eastAsia="楷体"/>
                <w:sz w:val="24"/>
              </w:rPr>
              <w:t xml:space="preserve">图 3 电机故障下各层通道的响应与可检测性（待绘制）</w:t>
            </w:r>
            <w:commentRangeEnd w:id="6"/>
            <w:r>
              <w:rPr>
                <w:rStyle w:val="CommentReference"/>
              </w:rPr>
              <w:commentReference w:id="6"/>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del w:id="9009" w:author="Claude修改建议" w:date="2026-10-21T00:00:00Z">
              <w:r>
                <w:rPr>
                  <w:rFonts w:eastAsia="楷体"/>
                  <w:sz w:val="24"/>
                </w:rPr>
                <w:delText xml:space="preserve">参照文献</w:delText>
              </w:r>
            </w:del>
            <w:ins w:id="9010" w:author="Claude修改建议" w:date="2026-10-21T00:00:00Z">
              <w:r>
                <w:rPr>
                  <w:rFonts w:eastAsia="楷体"/>
                  <w:sz w:val="24"/>
                </w:rPr>
                <w:t xml:space="preserve">借鉴文献</w:t>
              </w:r>
            </w:ins>
            <w:r>
              <w:rPr>
                <w:rFonts w:eastAsia="楷体"/>
                <w:sz w:val="24"/>
                <w:vertAlign w:val="superscript"/>
              </w:rPr>
              <w:t>[43]</w:t>
            </w:r>
            <w:del w:id="9011" w:author="Claude修改建议" w:date="2026-10-21T00:00:00Z">
              <w:r>
                <w:rPr>
                  <w:rFonts w:eastAsia="楷体"/>
                  <w:sz w:val="24"/>
                </w:rPr>
                <w:delText xml:space="preserve">的信号—文本融合结构</w:delText>
              </w:r>
            </w:del>
            <w:ins w:id="9012" w:author="Claude修改建议" w:date="2026-10-21T00:00:00Z">
              <w:r>
                <w:rPr>
                  <w:rFonts w:eastAsia="楷体"/>
                  <w:sz w:val="24"/>
                </w:rPr>
                <w:t xml:space="preserve">的信号—文本融合思路</w:t>
              </w:r>
            </w:ins>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commentRangeStart w:id="7"/>
            <w:r>
              <w:rPr>
                <w:rFonts w:eastAsia="楷体"/>
                <w:sz w:val="24"/>
              </w:rPr>
              <w:t xml:space="preserve">（2）时序—语义对齐训练。</w:t>
            </w:r>
            <w:del w:id="9013" w:author="Claude修改建议" w:date="2026-10-21T00:00:00Z">
              <w:r>
                <w:rPr>
                  <w:rFonts w:eastAsia="楷体"/>
                  <w:sz w:val="24"/>
                </w:rPr>
                <w:delText xml:space="preserve">以 Qwen 系列开源大语言模型为基座，主实验采用 1.5B–4B 参数规模。</w:delText>
              </w:r>
            </w:del>
            <w:ins w:id="9014" w:author="Claude修改建议" w:date="2026-10-21T00:00:00Z">
              <w:r>
                <w:rPr>
                  <w:rFonts w:eastAsia="楷体"/>
                  <w:sz w:val="24"/>
                </w:rPr>
                <w:t xml:space="preserve">以 Qwen2.5 系列开源大语言模型为基座，主实验采用 3B–7B 参数规模。</w:t>
              </w:r>
            </w:ins>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7"/>
            <w:r>
              <w:rPr>
                <w:rStyle w:val="CommentReference"/>
              </w:rPr>
              <w:commentReference w:id="7"/>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（5）对比与消融实验。在常规、未见故障组合和小样本等评测设置下，</w:t>
            </w:r>
            <w:del w:id="9015" w:author="Claude修改建议" w:date="2026-10-21T00:00:00Z">
              <w:r>
                <w:rPr>
                  <w:rFonts w:eastAsia="楷体"/>
                  <w:sz w:val="24"/>
                </w:rPr>
                <w:delText xml:space="preserve">与判别式分类头、纯提示大模型等方法进行对比</w:delText>
              </w:r>
            </w:del>
            <w:ins w:id="9016" w:author="Claude修改建议" w:date="2026-10-21T00:00:00Z">
              <w:r>
                <w:rPr>
                  <w:rFonts w:eastAsia="楷体"/>
                  <w:sz w:val="24"/>
                </w:rPr>
                <w:t xml:space="preserve">与一维卷积神经网络、LSTM 等时序分类网络，扁平分类头、逐属性多头分类头，以及纯提示大模型等方法进行对比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commentRangeStart w:id="8"/>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commentRangeEnd w:id="8"/>
            <w:r>
              <w:rPr>
                <w:rStyle w:val="CommentReference"/>
              </w:rPr>
              <w:commentReference w:id="8"/>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del w:id="9017" w:author="Claude修改建议" w:date="2026-10-21T00:00:00Z">
              <w:r>
                <w:rPr>
                  <w:rFonts w:eastAsia="楷体"/>
                  <w:sz w:val="24"/>
                </w:rPr>
                <w:delText xml:space="preserve">CPU 端采用 GGUF 格式</w:delText>
              </w:r>
            </w:del>
            <w:ins w:id="9018" w:author="Claude修改建议" w:date="2026-10-21T00:00:00Z">
              <w:r>
                <w:rPr>
                  <w:rFonts w:eastAsia="楷体"/>
                  <w:sz w:val="24"/>
                </w:rPr>
                <w:t xml:space="preserve">CPU 端采用 llama.cpp 框架及其 GGUF 格式</w:t>
              </w:r>
            </w:ins>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commentRangeStart w:id="10"/>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commentRangeEnd w:id="10"/>
            <w:r>
              <w:rPr>
                <w:rStyle w:val="CommentReference"/>
              </w:rPr>
              <w:commentReference w:id="10"/>
            </w:r>
          </w:p>
          <w:p w14:paraId="49A1015C" w14:textId="77777777" w:rsidR="00320D2D" w:rsidRDefault="00000000">
            <w:pPr>
              <w:spacing w:line="420" w:lineRule="exact"/>
              <w:ind w:firstLineChars="200" w:firstLine="480"/>
            </w:pPr>
            <w:commentRangeStart w:id="9"/>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commentRangeEnd w:id="9"/>
            <w:r>
              <w:rPr>
                <w:rStyle w:val="CommentReference"/>
              </w:rPr>
              <w:commentReference w:id="9"/>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commentRangeStart w:id="11"/>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commentRangeEnd w:id="11"/>
            <w:r>
              <w:rPr>
                <w:rStyle w:val="CommentReference"/>
              </w:rPr>
              <w:commentReference w:id="11"/>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修改建议" w:date="2026-10-21T01:53:05Z" w:initials="C">
    <w:p w14:paraId="3D5982FE" w14:textId="77777777">
      <w:r>
        <w:rPr>
          <w:rStyle w:val="CommentReference"/>
        </w:rPr>
        <w:annotationRef/>
      </w:r>
      <w:r>
        <w:rPr>
          <w:color w:val="000000"/>
          <w:sz w:val="20"/>
          <w:szCs w:val="20"/>
        </w:rPr>
        <w:t xml:space="preserve">封面题目尚未填写，需与图 1 标题及三项研究内容的关键词保持一致。</w:t>
      </w:r>
    </w:p>
  </w:comment>
  <w:comment w:id="1" w:author="Claude修改建议" w:date="2026-10-21T01:53:05Z" w:initials="C">
    <w:p w14:paraId="54CC35BA" w14:textId="77777777">
      <w:r>
        <w:rPr>
          <w:rStyle w:val="CommentReference"/>
        </w:rPr>
        <w:annotationRef/>
      </w:r>
      <w:r>
        <w:rPr>
          <w:color w:val="000000"/>
          <w:sz w:val="20"/>
          <w:szCs w:val="20"/>
        </w:rPr>
        <w:t xml:space="preserve">逻辑上需要回应一个问题：逐属性多头分类器（每个属性一个分类头）同样可以输出未见的属性组合，因此“按属性逐字段生成”本身不足以说明大语言模型的必要性。建议把泛化能力的来源落在“属性—机理描述提供的共享先验”和“依据生成作为中间推理”上，并在 3.2.2(5) 中以逐属性多头分类头作为核心基线（已在 3.2.2(5) 中补入）。</w:t>
      </w:r>
    </w:p>
  </w:comment>
  <w:comment w:id="2" w:author="Claude修改建议" w:date="2026-10-21T01:53:05Z" w:initials="C">
    <w:p w14:paraId="25398E0F" w14:textId="77777777">
      <w:r>
        <w:rPr>
          <w:rStyle w:val="CommentReference"/>
        </w:rPr>
        <w:annotationRef/>
      </w:r>
      <w:r>
        <w:rPr>
          <w:color w:val="000000"/>
          <w:sz w:val="20"/>
          <w:szCs w:val="20"/>
        </w:rPr>
        <w:t xml:space="preserve">建议补一张故障集合与属性取值表：部件、轴（电机故障的“轴”如何定义）、模式、程度档位及数值、是否包含“无故障”取值，以及各类故障的飞行轮次和样本数。“未见组合”如何划分也应在此处或 3.3 中写明。</w:t>
      </w:r>
    </w:p>
  </w:comment>
  <w:comment w:id="3" w:author="Claude修改建议" w:date="2026-10-21T01:53:05Z" w:initials="C">
    <w:p w14:paraId="633CC1C4" w14:textId="77777777">
      <w:r>
        <w:rPr>
          <w:rStyle w:val="CommentReference"/>
        </w:rPr>
        <w:annotationRef/>
      </w:r>
      <w:r>
        <w:rPr>
          <w:color w:val="000000"/>
          <w:sz w:val="20"/>
          <w:szCs w:val="20"/>
        </w:rPr>
        <w:t xml:space="preserve">答辩时可能被追问：①仅采集悬停数据，能否推广到机动飞行；②软件注入的电机效率下降与真实桨叶损伤是否等价。可考虑补充少量巡航飞行和物理故障（如切角桨叶）数据作为测试。</w:t>
      </w:r>
    </w:p>
  </w:comment>
  <w:comment w:id="4" w:author="Claude修改建议" w:date="2026-10-21T01:53:06Z" w:initials="C">
    <w:p w14:paraId="754C775F" w14:textId="77777777">
      <w:r>
        <w:rPr>
          <w:rStyle w:val="CommentReference"/>
        </w:rPr>
        <w:annotationRef/>
      </w:r>
      <w:r>
        <w:rPr>
          <w:color w:val="000000"/>
          <w:sz w:val="20"/>
          <w:szCs w:val="20"/>
        </w:rPr>
        <w:t xml:space="preserve">自参考差分依赖本轮注入前的悬停段。若故障在起飞前已存在，则没有无故障基线，答辩时可能被问到在线应用时如何获取基线（如滑动参考窗口、同机正常飞行统计量）。</w:t>
      </w:r>
    </w:p>
  </w:comment>
  <w:comment w:id="5" w:author="Claude修改建议" w:date="2026-10-21T01:53:06Z" w:initials="C">
    <w:p w14:paraId="604F13CF" w14:textId="77777777">
      <w:r>
        <w:rPr>
          <w:rStyle w:val="CommentReference"/>
        </w:rPr>
        <w:annotationRef/>
      </w:r>
      <w:r>
        <w:rPr>
          <w:color w:val="000000"/>
          <w:sz w:val="20"/>
          <w:szCs w:val="20"/>
        </w:rPr>
        <w:t xml:space="preserve">创新点（1）“构建数据集”更接近工作基础，评审可能不认可为创新。可考虑把数据集并入创新点（2），作为分层表征的实验基础来表述。</w:t>
      </w:r>
    </w:p>
  </w:comment>
  <w:comment w:id="6" w:author="Claude修改建议" w:date="2026-10-21T01:53:06Z" w:initials="C">
    <w:p w14:paraId="5E7FA6F7" w14:textId="77777777">
      <w:r>
        <w:rPr>
          <w:rStyle w:val="CommentReference"/>
        </w:rPr>
        <w:annotationRef/>
      </w:r>
      <w:r>
        <w:rPr>
          <w:color w:val="000000"/>
          <w:sz w:val="20"/>
          <w:szCs w:val="20"/>
        </w:rPr>
        <w:t xml:space="preserve">图 3 仍为“待绘制”，提交前需补齐。3.3(2) 中“电机故障在控制层表现明显”的结论以此图为依据，建议包含注入前后三层代表通道的时序曲线和“故障 × 通道”显著性热图。</w:t>
      </w:r>
    </w:p>
  </w:comment>
  <w:comment w:id="7" w:author="Claude修改建议" w:date="2026-10-21T01:53:06Z" w:initials="C">
    <w:p w14:paraId="22873A81" w14:textId="77777777">
      <w:r>
        <w:rPr>
          <w:rStyle w:val="CommentReference"/>
        </w:rPr>
        <w:annotationRef/>
      </w:r>
      <w:r>
        <w:rPr>
          <w:color w:val="000000"/>
          <w:sz w:val="20"/>
          <w:szCs w:val="20"/>
        </w:rPr>
        <w:t xml:space="preserve">原稿教师取 1.5B–4B，学生取 0.5B/1.5B 且以 1.5B 为主，两者规模重叠；而且 Qwen2.5（0.5B/1.5B/3B/7B）与 Qwen3（0.6B/1.7B/4B/8B）规格不同，逐词元蒸馏要求师生共用分词器。已改为 Qwen2.5 系列 3B–7B，与 ChatTS 开源模型同系列。具体规模请按实验室 GPU 显存确定。</w:t>
      </w:r>
    </w:p>
  </w:comment>
  <w:comment w:id="8" w:author="Claude修改建议" w:date="2026-10-21T01:53:06Z" w:initials="C">
    <w:p w14:paraId="6CE722E7" w14:textId="77777777">
      <w:r>
        <w:rPr>
          <w:rStyle w:val="CommentReference"/>
        </w:rPr>
        <w:annotationRef/>
      </w:r>
      <w:r>
        <w:rPr>
          <w:color w:val="000000"/>
          <w:sz w:val="20"/>
          <w:szCs w:val="20"/>
        </w:rPr>
        <w:t xml:space="preserve">可选的方法补充：诊断依据可以由程序核验，因此可先剔除依据与实测数据不符的教师输出，再用于蒸馏。这样创新点（1）“依据—结论多任务蒸馏”就有了区别于文献[52]的具体机制。参考写法：“蒸馏前以核验程序检查教师输出，剔除依据与实测数据或结构化结论不一致的样本。”</w:t>
      </w:r>
    </w:p>
  </w:comment>
  <w:comment w:id="9" w:author="Claude修改建议" w:date="2026-10-21T01:53:06Z" w:initials="C">
    <w:p w14:paraId="73346E9E" w14:textId="77777777">
      <w:r>
        <w:rPr>
          <w:rStyle w:val="CommentReference"/>
        </w:rPr>
        <w:annotationRef/>
      </w:r>
      <w:r>
        <w:rPr>
          <w:color w:val="000000"/>
          <w:sz w:val="20"/>
          <w:szCs w:val="20"/>
        </w:rPr>
        <w:t xml:space="preserve">“泛化保持率”“依据一致率”在正文中尚无定义，建议在 3.3 中补一条评价指标说明，例如：泛化保持率为学生与教师模型在未见组合上完全匹配率之比；依据一致率为生成依据中可核验陈述与实测结果相符的比例。</w:t>
      </w:r>
    </w:p>
  </w:comment>
  <w:comment w:id="10" w:author="Claude修改建议" w:date="2026-10-21T01:53:06Z" w:initials="C">
    <w:p w14:paraId="04B762D2" w14:textId="77777777">
      <w:r>
        <w:rPr>
          <w:rStyle w:val="CommentReference"/>
        </w:rPr>
        <w:annotationRef/>
      </w:r>
      <w:r>
        <w:rPr>
          <w:color w:val="000000"/>
          <w:sz w:val="20"/>
          <w:szCs w:val="20"/>
        </w:rPr>
        <w:t xml:space="preserve">目前以 Jetson 为假想平台、在本地模拟资源约束，与图 1 中的“机载分层诊断系统”、2.3(3) 中的“实现在线故障诊断”在表述强度上不一致。若能借到 Jetson Orin Nano 做实测，这些表述就都能成立。</w:t>
      </w:r>
    </w:p>
  </w:comment>
  <w:comment w:id="11" w:author="Claude修改建议" w:date="2026-10-21T01:53:06Z" w:initials="C">
    <w:p w14:paraId="50E3B600" w14:textId="77777777">
      <w:r>
        <w:rPr>
          <w:rStyle w:val="CommentReference"/>
        </w:rPr>
        <w:annotationRef/>
      </w:r>
      <w:r>
        <w:rPr>
          <w:color w:val="000000"/>
          <w:sz w:val="20"/>
          <w:szCs w:val="20"/>
        </w:rPr>
        <w:t xml:space="preserve">建议写明与课题直接相关的设备：阿木 F410、Pixhawk 6C、GPU 型号、数量与显存等。</w:t>
      </w:r>
    </w:p>
  </w:comment>
  <w:comment w:id="12" w:author="Claude修改建议" w:date="2026-10-21T01:53:06Z" w:initials="C">
    <w:p w14:paraId="423ABF62" w14:textId="77777777">
      <w:r>
        <w:rPr>
          <w:rStyle w:val="CommentReference"/>
        </w:rPr>
        <w:annotationRef/>
      </w:r>
      <w:r>
        <w:rPr>
          <w:color w:val="000000"/>
          <w:sz w:val="20"/>
          <w:szCs w:val="20"/>
        </w:rPr>
        <w:t xml:space="preserve">arXiv 编号 2511.01866 对应 2025 年 11 月，与标注日期 2025-10-21 不符，请核对。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5982FE" w15:done="0"/>
  <w15:commentEx w15:paraId="54CC35BA" w15:done="0"/>
  <w15:commentEx w15:paraId="25398E0F" w15:done="0"/>
  <w15:commentEx w15:paraId="633CC1C4" w15:done="0"/>
  <w15:commentEx w15:paraId="754C775F" w15:done="0"/>
  <w15:commentEx w15:paraId="604F13CF" w15:done="0"/>
  <w15:commentEx w15:paraId="5E7FA6F7" w15:done="0"/>
  <w15:commentEx w15:paraId="22873A81" w15:done="0"/>
  <w15:commentEx w15:paraId="6CE722E7" w15:done="0"/>
  <w15:commentEx w15:paraId="73346E9E" w15:done="0"/>
  <w15:commentEx w15:paraId="04B762D2" w15:done="0"/>
  <w15:commentEx w15:paraId="50E3B600" w15:done="0"/>
  <w15:commentEx w15:paraId="423AB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9908F03" w16cex:dateUtc="2026-10-21T01:53:05Z"/>
  <w16cex:commentExtensible w16cex:durableId="2D3B2000" w16cex:dateUtc="2026-10-21T01:53:05Z"/>
  <w16cex:commentExtensible w16cex:durableId="5FA94411" w16cex:dateUtc="2026-10-21T01:53:05Z"/>
  <w16cex:commentExtensible w16cex:durableId="1E0A3C5B" w16cex:dateUtc="2026-10-21T01:53:05Z"/>
  <w16cex:commentExtensible w16cex:durableId="1BE533B9" w16cex:dateUtc="2026-10-21T01:53:06Z"/>
  <w16cex:commentExtensible w16cex:durableId="0784D5DE" w16cex:dateUtc="2026-10-21T01:53:06Z"/>
  <w16cex:commentExtensible w16cex:durableId="1EEBE5FB" w16cex:dateUtc="2026-10-21T01:53:06Z"/>
  <w16cex:commentExtensible w16cex:durableId="314182DF" w16cex:dateUtc="2026-10-21T01:53:06Z"/>
  <w16cex:commentExtensible w16cex:durableId="71A023FE" w16cex:dateUtc="2026-10-21T01:53:06Z"/>
  <w16cex:commentExtensible w16cex:durableId="096A575F" w16cex:dateUtc="2026-10-21T01:53:06Z"/>
  <w16cex:commentExtensible w16cex:durableId="7718DF56" w16cex:dateUtc="2026-10-21T01:53:06Z"/>
  <w16cex:commentExtensible w16cex:durableId="5818B485" w16cex:dateUtc="2026-10-21T01:53:06Z"/>
  <w16cex:commentExtensible w16cex:durableId="3CFF107B" w16cex:dateUtc="2026-10-21T01:53:0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5982FE" w16cid:durableId="39908F03"/>
  <w16cid:commentId w16cid:paraId="54CC35BA" w16cid:durableId="2D3B2000"/>
  <w16cid:commentId w16cid:paraId="25398E0F" w16cid:durableId="5FA94411"/>
  <w16cid:commentId w16cid:paraId="633CC1C4" w16cid:durableId="1E0A3C5B"/>
  <w16cid:commentId w16cid:paraId="754C775F" w16cid:durableId="1BE533B9"/>
  <w16cid:commentId w16cid:paraId="604F13CF" w16cid:durableId="0784D5DE"/>
  <w16cid:commentId w16cid:paraId="5E7FA6F7" w16cid:durableId="1EEBE5FB"/>
  <w16cid:commentId w16cid:paraId="22873A81" w16cid:durableId="314182DF"/>
  <w16cid:commentId w16cid:paraId="6CE722E7" w16cid:durableId="71A023FE"/>
  <w16cid:commentId w16cid:paraId="73346E9E" w16cid:durableId="096A575F"/>
  <w16cid:commentId w16cid:paraId="04B762D2" w16cid:durableId="7718DF56"/>
  <w16cid:commentId w16cid:paraId="50E3B600" w16cid:durableId="5818B485"/>
  <w16cid:commentId w16cid:paraId="423ABF62" w16cid:durableId="3CFF107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6/09/relationships/commentsIds" Target="commentsIds.xml"/><Relationship Id="rId1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