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Kairat Abdykadyrov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3456787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3456787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2022-12-13</w:t>
        <w:br/>
        <w:t>зарегистрированный по адресу: ygtfd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dsa@gf.gfd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ygfd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5</w:t>
            </w:r>
          </w:p>
        </w:tc>
        <w:tc>
          <w:tcPr>
            <w:tcW w:type="dxa" w:w="1559"/>
          </w:tcPr>
          <w:p>
            <w:r>
              <w:t>615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3615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