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/>
          <w:b/>
          <w:i w:val="false"/>
          <w:color w:val="1F497D"/>
          <w:sz w:val="32"/>
        </w:rPr>
      </w:pPr>
      <w:r>
        <w:rPr/>
      </w:r>
    </w:p>
    <w:p>
      <w:pPr>
        <w:pStyle w:val="Normal"/>
        <w:spacing w:before="240" w:after="160"/>
        <w:rPr/>
      </w:pPr>
      <w:r>
        <w:rPr>
          <w:rFonts w:eastAsia="Calibri"/>
          <w:b w:val="false"/>
          <w:i w:val="false"/>
          <w:sz w:val="22"/>
        </w:rPr>
        <w:t>Dear Hiring Team,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sz w:val="22"/>
        </w:rPr>
        <w:t xml:space="preserve">I am writing to apply for the </w:t>
      </w:r>
      <w:r>
        <w:rPr>
          <w:rFonts w:eastAsia="Calibri"/>
          <w:b/>
          <w:i w:val="false"/>
          <w:sz w:val="22"/>
        </w:rPr>
        <w:t>Head of Finance (China)</w:t>
      </w:r>
      <w:r>
        <w:rPr>
          <w:rFonts w:eastAsia="Calibri"/>
          <w:b w:val="false"/>
          <w:i w:val="false"/>
          <w:sz w:val="22"/>
        </w:rPr>
        <w:t xml:space="preserve"> position at Novotech. Based in Shanghai, I bring </w:t>
      </w:r>
      <w:r>
        <w:rPr>
          <w:rFonts w:eastAsia="Calibri"/>
          <w:b/>
          <w:i w:val="false"/>
          <w:sz w:val="22"/>
        </w:rPr>
        <w:t>15+ years</w:t>
      </w:r>
      <w:r>
        <w:rPr>
          <w:rFonts w:eastAsia="Calibri"/>
          <w:b w:val="false"/>
          <w:i w:val="false"/>
          <w:sz w:val="22"/>
        </w:rPr>
        <w:t xml:space="preserve"> of senior finance leadership — as </w:t>
      </w:r>
      <w:r>
        <w:rPr>
          <w:rFonts w:eastAsia="Calibri"/>
          <w:b/>
          <w:i w:val="false"/>
          <w:sz w:val="22"/>
        </w:rPr>
        <w:t>CFO</w:t>
      </w:r>
      <w:r>
        <w:rPr>
          <w:rFonts w:eastAsia="Calibri"/>
          <w:b w:val="false"/>
          <w:i w:val="false"/>
          <w:sz w:val="22"/>
        </w:rPr>
        <w:t xml:space="preserve"> and </w:t>
      </w:r>
      <w:r>
        <w:rPr>
          <w:rFonts w:eastAsia="Calibri"/>
          <w:b/>
          <w:i w:val="false"/>
          <w:sz w:val="22"/>
        </w:rPr>
        <w:t>Deputy Head of Economics and Finance</w:t>
      </w:r>
      <w:r>
        <w:rPr>
          <w:rFonts w:eastAsia="Calibri"/>
          <w:b w:val="false"/>
          <w:i w:val="false"/>
          <w:sz w:val="22"/>
        </w:rPr>
        <w:t xml:space="preserve"> — with direct ownership of regional financial oversight, FP&amp;A, governance, and audit readiness in a China–international matrix environment.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sz w:val="22"/>
        </w:rPr>
        <w:t>I am a fully qualified accounting practitioner (</w:t>
      </w:r>
      <w:r>
        <w:rPr>
          <w:rFonts w:eastAsia="Calibri"/>
          <w:b/>
          <w:i w:val="false"/>
          <w:sz w:val="22"/>
        </w:rPr>
        <w:t>CAP</w:t>
      </w:r>
      <w:r>
        <w:rPr>
          <w:rFonts w:eastAsia="Calibri"/>
          <w:b w:val="false"/>
          <w:i w:val="false"/>
          <w:sz w:val="22"/>
        </w:rPr>
        <w:t xml:space="preserve">), with </w:t>
      </w:r>
      <w:r>
        <w:rPr>
          <w:rFonts w:eastAsia="Calibri"/>
          <w:b/>
          <w:i w:val="false"/>
          <w:sz w:val="22"/>
        </w:rPr>
        <w:t>CPA Russia</w:t>
      </w:r>
      <w:r>
        <w:rPr>
          <w:rFonts w:eastAsia="Calibri"/>
          <w:b w:val="false"/>
          <w:i w:val="false"/>
          <w:sz w:val="22"/>
        </w:rPr>
        <w:t xml:space="preserve"> professional development in IFRS reporting and management accounting, plus </w:t>
      </w:r>
      <w:r>
        <w:rPr>
          <w:rFonts w:eastAsia="Calibri"/>
          <w:b/>
          <w:i w:val="false"/>
          <w:sz w:val="22"/>
        </w:rPr>
        <w:t>Chief Accountant</w:t>
      </w:r>
      <w:r>
        <w:rPr>
          <w:rFonts w:eastAsia="Calibri"/>
          <w:b w:val="false"/>
          <w:i w:val="false"/>
          <w:sz w:val="22"/>
        </w:rPr>
        <w:t xml:space="preserve"> qualification courses. In practice, this underpins disciplined close cycles, IFRS/CAS reporting (unconsolidated and consolidated), and confident interaction with internal stakeholders and </w:t>
      </w:r>
      <w:r>
        <w:rPr>
          <w:rFonts w:eastAsia="Calibri"/>
          <w:b/>
          <w:i w:val="false"/>
          <w:sz w:val="22"/>
        </w:rPr>
        <w:t>external auditors</w:t>
      </w:r>
      <w:r>
        <w:rPr>
          <w:rFonts w:eastAsia="Calibri"/>
          <w:b w:val="false"/>
          <w:i w:val="false"/>
          <w:sz w:val="22"/>
        </w:rPr>
        <w:t xml:space="preserve"> — from auditor selection and contracting through disclosure support and timely resolution of findings.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sz w:val="22"/>
        </w:rPr>
        <w:t xml:space="preserve">My core strength is commercially focused finance partnering at senior level. I have led full-cycle </w:t>
      </w:r>
      <w:r>
        <w:rPr>
          <w:rFonts w:eastAsia="Calibri"/>
          <w:b/>
          <w:i w:val="false"/>
          <w:sz w:val="22"/>
        </w:rPr>
        <w:t>budgeting, forecasting, plan-vs-actual and variance analysis</w:t>
      </w:r>
      <w:r>
        <w:rPr>
          <w:rFonts w:eastAsia="Calibri"/>
          <w:b w:val="false"/>
          <w:i w:val="false"/>
          <w:sz w:val="22"/>
        </w:rPr>
        <w:t xml:space="preserve">, and management reporting packs that translate performance drivers into clear advice for leadership. I partner on </w:t>
      </w:r>
      <w:r>
        <w:rPr>
          <w:rFonts w:eastAsia="Calibri"/>
          <w:b/>
          <w:i w:val="false"/>
          <w:sz w:val="22"/>
        </w:rPr>
        <w:t>pricing, margins, cost drivers, and business cases</w:t>
      </w:r>
      <w:r>
        <w:rPr>
          <w:rFonts w:eastAsia="Calibri"/>
          <w:b w:val="false"/>
          <w:i w:val="false"/>
          <w:sz w:val="22"/>
        </w:rPr>
        <w:t>, and prepare board papers and investment/capitalization materials to support sustainable growth and operational effectiveness — the same mandate described for Head of Finance China: end-to-end regional P&amp;L oversight and decision support for the Regional VP and senior leadership.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sz w:val="22"/>
        </w:rPr>
        <w:t xml:space="preserve">I am used to </w:t>
      </w:r>
      <w:r>
        <w:rPr>
          <w:rFonts w:eastAsia="Calibri"/>
          <w:b/>
          <w:i w:val="false"/>
          <w:sz w:val="22"/>
        </w:rPr>
        <w:t>matrix and multi-country coordination</w:t>
      </w:r>
      <w:r>
        <w:rPr>
          <w:rFonts w:eastAsia="Calibri"/>
          <w:b w:val="false"/>
          <w:i w:val="false"/>
          <w:sz w:val="22"/>
        </w:rPr>
        <w:t>: aligning China operations with international founders, boards, banks, and HQ-style policies while keeping processes practical for the regional business. I have built a finance function from scratch, designed internal controls and delegated procedures, and continuously improved ERP-based reporting (QAD), Excel modelling, and analytics (</w:t>
      </w:r>
      <w:r>
        <w:rPr>
          <w:rFonts w:eastAsia="Calibri"/>
          <w:b/>
          <w:i w:val="false"/>
          <w:sz w:val="22"/>
        </w:rPr>
        <w:t>Power BI, SQL, Python</w:t>
      </w:r>
      <w:r>
        <w:rPr>
          <w:rFonts w:eastAsia="Calibri"/>
          <w:b w:val="false"/>
          <w:i w:val="false"/>
          <w:sz w:val="22"/>
        </w:rPr>
        <w:t>) to raise transparency and efficiency.</w:t>
      </w:r>
    </w:p>
    <w:p>
      <w:pPr>
        <w:pStyle w:val="Normal"/>
        <w:spacing w:lineRule="auto" w:line="276" w:before="0" w:after="160"/>
        <w:rPr/>
      </w:pPr>
      <w:r>
        <w:rPr>
          <w:rFonts w:eastAsia="Calibri"/>
          <w:b w:val="false"/>
          <w:i w:val="false"/>
          <w:sz w:val="22"/>
        </w:rPr>
        <w:t>While my background is not CRO/life-sciences specific, it transfers well to a regulated, multi-stakeholder growth organisation such as Novotech: complex international reporting, audit readiness, financial governance, and commercially relevant insight for pipeline and investment decisions. I would welcome the opportunity to discuss how I can support Novotech’s China region — partnering closely with regional leadership and global finance (FP&amp;A, Accounting, Tax, Treasury) to deliver consistent reporting, strong controls, and sustainable performance.</w:t>
      </w:r>
    </w:p>
    <w:p>
      <w:pPr>
        <w:pStyle w:val="Normal"/>
        <w:spacing w:before="0" w:after="160"/>
        <w:rPr>
          <w:b w:val="false"/>
          <w:i w:val="false"/>
        </w:rPr>
      </w:pPr>
      <w:r>
        <w:rPr>
          <w:b w:val="false"/>
          <w:i w:val="false"/>
        </w:rPr>
        <w:t>Thank you for your consideration.</w:t>
      </w:r>
    </w:p>
    <w:p>
      <w:pPr>
        <w:pStyle w:val="Normal"/>
        <w:spacing w:before="0" w:after="160"/>
        <w:rPr>
          <w:b w:val="false"/>
          <w:i w:val="false"/>
        </w:rPr>
      </w:pPr>
      <w:r>
        <w:rPr>
          <w:b w:val="false"/>
          <w:i w:val="false"/>
        </w:rPr>
        <w:t>Warm regards,</w:t>
      </w:r>
    </w:p>
    <w:p>
      <w:pPr>
        <w:pStyle w:val="Normal"/>
        <w:spacing w:before="0" w:after="160"/>
        <w:rPr/>
      </w:pPr>
      <w:r>
        <w:rPr>
          <w:b w:val="false"/>
          <w:i w:val="false"/>
        </w:rPr>
        <w:t>Vitaly Kurnosenko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333</Words>
  <Characters>2158</Characters>
  <CharactersWithSpaces>2486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2026-07-15T18:19:27Z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