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497D"/>
          <w:sz w:val="32"/>
        </w:rPr>
        <w:t>Vitaly Kurnosenko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18"/>
        </w:rPr>
        <w:t>Shanghai, China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18"/>
        </w:rPr>
        <w:t>+86 15601694273 | vitaly@sinoptics.ai</w:t>
      </w:r>
    </w:p>
    <w:p>
      <w:r>
        <w:rPr>
          <w:rFonts w:ascii="Calibri" w:hAnsi="Calibri" w:eastAsia="Calibri"/>
          <w:b w:val="0"/>
          <w:i w:val="0"/>
          <w:sz w:val="22"/>
        </w:rPr>
        <w:t>June 26, 2026</w:t>
      </w:r>
    </w:p>
    <w:p>
      <w:r>
        <w:rPr>
          <w:rFonts w:ascii="Calibri" w:hAnsi="Calibri" w:eastAsia="Calibri"/>
          <w:b/>
          <w:i w:val="0"/>
          <w:sz w:val="22"/>
        </w:rPr>
        <w:t>Hiring Team</w:t>
      </w:r>
    </w:p>
    <w:p>
      <w:r>
        <w:t>Banco Plata</w:t>
      </w:r>
    </w:p>
    <w:p>
      <w:pPr>
        <w:spacing w:after="160"/>
      </w:pPr>
      <w:r>
        <w:t>Dear Hiring Team,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 xml:space="preserve">I am writing to apply for the </w:t>
      </w:r>
      <w:r>
        <w:rPr>
          <w:rFonts w:ascii="Calibri" w:hAnsi="Calibri" w:eastAsia="Calibri"/>
          <w:b/>
          <w:i w:val="0"/>
          <w:sz w:val="22"/>
        </w:rPr>
        <w:t>Analytics Engineer [DWH — Risk Domain]</w:t>
      </w:r>
      <w:r>
        <w:rPr>
          <w:rFonts w:ascii="Calibri" w:hAnsi="Calibri" w:eastAsia="Calibri"/>
          <w:b w:val="0"/>
          <w:i w:val="0"/>
          <w:sz w:val="22"/>
        </w:rPr>
        <w:t xml:space="preserve"> position at Banco Plata.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 xml:space="preserve">For nearly four years I led analytics-engineering delivery on a production </w:t>
      </w:r>
      <w:r>
        <w:rPr>
          <w:rFonts w:ascii="Calibri" w:hAnsi="Calibri" w:eastAsia="Calibri"/>
          <w:b/>
          <w:i w:val="0"/>
          <w:sz w:val="22"/>
        </w:rPr>
        <w:t>anti-fraud and risk platform</w:t>
      </w:r>
      <w:r>
        <w:rPr>
          <w:rFonts w:ascii="Calibri" w:hAnsi="Calibri" w:eastAsia="Calibri"/>
          <w:b w:val="0"/>
          <w:i w:val="0"/>
          <w:sz w:val="22"/>
        </w:rPr>
        <w:t xml:space="preserve"> (Yofi, USA) serving enterprise e-commerce merchants. My day-to-day work matched what your DWH Risk Domain role describes: partnering with risk-oriented stakeholders, shaping </w:t>
      </w:r>
      <w:r>
        <w:rPr>
          <w:rFonts w:ascii="Calibri" w:hAnsi="Calibri" w:eastAsia="Calibri"/>
          <w:b/>
          <w:i w:val="0"/>
          <w:sz w:val="22"/>
        </w:rPr>
        <w:t>metric definitions</w:t>
      </w:r>
      <w:r>
        <w:rPr>
          <w:rFonts w:ascii="Calibri" w:hAnsi="Calibri" w:eastAsia="Calibri"/>
          <w:b w:val="0"/>
          <w:i w:val="0"/>
          <w:sz w:val="22"/>
        </w:rPr>
        <w:t xml:space="preserve">, building </w:t>
      </w:r>
      <w:r>
        <w:rPr>
          <w:rFonts w:ascii="Calibri" w:hAnsi="Calibri" w:eastAsia="Calibri"/>
          <w:b/>
          <w:i w:val="0"/>
          <w:sz w:val="22"/>
        </w:rPr>
        <w:t>dbt marts and Airflow pipelines</w:t>
      </w:r>
      <w:r>
        <w:rPr>
          <w:rFonts w:ascii="Calibri" w:hAnsi="Calibri" w:eastAsia="Calibri"/>
          <w:b w:val="0"/>
          <w:i w:val="0"/>
          <w:sz w:val="22"/>
        </w:rPr>
        <w:t xml:space="preserve">, and making sure risk data is </w:t>
      </w:r>
      <w:r>
        <w:rPr>
          <w:rFonts w:ascii="Calibri" w:hAnsi="Calibri" w:eastAsia="Calibri"/>
          <w:b/>
          <w:i w:val="0"/>
          <w:sz w:val="22"/>
        </w:rPr>
        <w:t>documented, tested, and reliable enough for production decisions</w:t>
      </w:r>
      <w:r>
        <w:rPr>
          <w:rFonts w:ascii="Calibri" w:hAnsi="Calibri" w:eastAsia="Calibri"/>
          <w:b w:val="0"/>
          <w:i w:val="0"/>
          <w:sz w:val="22"/>
        </w:rPr>
        <w:t>. I owned fraud and order-risk datasets, rule-efficiency analytics, and the pipelines that fed scoring and reporting — not as a peripheral contributor, but as the person analysts and engineers came to when a mart had to ship and stay correct.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 xml:space="preserve">Technically, I bring </w:t>
      </w:r>
      <w:r>
        <w:rPr>
          <w:rFonts w:ascii="Calibri" w:hAnsi="Calibri" w:eastAsia="Calibri"/>
          <w:b/>
          <w:i w:val="0"/>
          <w:sz w:val="22"/>
        </w:rPr>
        <w:t>advanced SQL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dbt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Airflow</w:t>
      </w:r>
      <w:r>
        <w:rPr>
          <w:rFonts w:ascii="Calibri" w:hAnsi="Calibri" w:eastAsia="Calibri"/>
          <w:b w:val="0"/>
          <w:i w:val="0"/>
          <w:sz w:val="22"/>
        </w:rPr>
        <w:t xml:space="preserve"> (~25 production DAGs), </w:t>
      </w:r>
      <w:r>
        <w:rPr>
          <w:rFonts w:ascii="Calibri" w:hAnsi="Calibri" w:eastAsia="Calibri"/>
          <w:b/>
          <w:i w:val="0"/>
          <w:sz w:val="22"/>
        </w:rPr>
        <w:t>PySpark/Spark on Kubernetes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Airbyte</w:t>
      </w:r>
      <w:r>
        <w:rPr>
          <w:rFonts w:ascii="Calibri" w:hAnsi="Calibri" w:eastAsia="Calibri"/>
          <w:b w:val="0"/>
          <w:i w:val="0"/>
          <w:sz w:val="22"/>
        </w:rPr>
        <w:t xml:space="preserve">, and </w:t>
      </w:r>
      <w:r>
        <w:rPr>
          <w:rFonts w:ascii="Calibri" w:hAnsi="Calibri" w:eastAsia="Calibri"/>
          <w:b/>
          <w:i w:val="0"/>
          <w:sz w:val="22"/>
        </w:rPr>
        <w:t>BigQuery</w:t>
      </w:r>
      <w:r>
        <w:rPr>
          <w:rFonts w:ascii="Calibri" w:hAnsi="Calibri" w:eastAsia="Calibri"/>
          <w:b w:val="0"/>
          <w:i w:val="0"/>
          <w:sz w:val="22"/>
        </w:rPr>
        <w:t xml:space="preserve">-class warehouse workflows — plus the discipline to treat data quality and schema contracts as part of the product. I also bring something less common in pure data engineering profiles: </w:t>
      </w:r>
      <w:r>
        <w:rPr>
          <w:rFonts w:ascii="Calibri" w:hAnsi="Calibri" w:eastAsia="Calibri"/>
          <w:b/>
          <w:i w:val="0"/>
          <w:sz w:val="22"/>
        </w:rPr>
        <w:t>15+ years in finance and banking operations</w:t>
      </w:r>
      <w:r>
        <w:rPr>
          <w:rFonts w:ascii="Calibri" w:hAnsi="Calibri" w:eastAsia="Calibri"/>
          <w:b w:val="0"/>
          <w:i w:val="0"/>
          <w:sz w:val="22"/>
        </w:rPr>
        <w:t xml:space="preserve"> (treasury, payment controls, IFRS reporting) and a </w:t>
      </w:r>
      <w:r>
        <w:rPr>
          <w:rFonts w:ascii="Calibri" w:hAnsi="Calibri" w:eastAsia="Calibri"/>
          <w:b/>
          <w:i w:val="0"/>
          <w:sz w:val="22"/>
        </w:rPr>
        <w:t>PhD in mathematical sciences</w:t>
      </w:r>
      <w:r>
        <w:rPr>
          <w:rFonts w:ascii="Calibri" w:hAnsi="Calibri" w:eastAsia="Calibri"/>
          <w:b w:val="0"/>
          <w:i w:val="0"/>
          <w:sz w:val="22"/>
        </w:rPr>
        <w:t>. That helps when risk data touches payments, indicators, and definitions that must make sense to both business owners and engineering.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 xml:space="preserve">What draws me to Plata is the chance to apply this combination inside a </w:t>
      </w:r>
      <w:r>
        <w:rPr>
          <w:rFonts w:ascii="Calibri" w:hAnsi="Calibri" w:eastAsia="Calibri"/>
          <w:b/>
          <w:i w:val="0"/>
          <w:sz w:val="22"/>
        </w:rPr>
        <w:t>licensed, data-driven bank</w:t>
      </w:r>
      <w:r>
        <w:rPr>
          <w:rFonts w:ascii="Calibri" w:hAnsi="Calibri" w:eastAsia="Calibri"/>
          <w:b w:val="0"/>
          <w:i w:val="0"/>
          <w:sz w:val="22"/>
        </w:rPr>
        <w:t xml:space="preserve"> that is scaling fast — building risk domain datasets that analysts and models can trust, on infrastructure meant to last. I have followed the product ethos your team represents (including the Tinkoff-inspired standard of banking that actually works for people) and would be proud to contribute behind the scenes to the risk analytics that keep that trust intact.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 xml:space="preserve">I am based in Shanghai, fluent in written and spoken English for international teams, and </w:t>
      </w:r>
      <w:r>
        <w:rPr>
          <w:rFonts w:ascii="Calibri" w:hAnsi="Calibri" w:eastAsia="Calibri"/>
          <w:b/>
          <w:i w:val="0"/>
          <w:sz w:val="22"/>
        </w:rPr>
        <w:t>open to relocation</w:t>
      </w:r>
      <w:r>
        <w:rPr>
          <w:rFonts w:ascii="Calibri" w:hAnsi="Calibri" w:eastAsia="Calibri"/>
          <w:b w:val="0"/>
          <w:i w:val="0"/>
          <w:sz w:val="22"/>
        </w:rPr>
        <w:t xml:space="preserve"> to Cyprus, Serbia, Georgia, or Kazakhstan. I would welcome a conversation about how I can help your Risk Domain DWH team deliver scalable, production-ready data flows.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Thank you for your consideration.</w:t>
      </w:r>
    </w:p>
    <w:p>
      <w:pPr>
        <w:spacing w:before="240"/>
      </w:pPr>
      <w:r>
        <w:t>Sincerely,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497D"/>
          <w:sz w:val="32"/>
        </w:rPr>
        <w:t>Vitaly Kurnosenko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