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jc w:val="right"/>
        <w:rPr>
          <w:b/>
          <w:sz w:val="20"/>
        </w:rPr>
      </w:pPr>
      <w:r>
        <w:rPr>
          <w:b/>
          <w:sz w:val="20"/>
        </w:rPr>
        <w:t xml:space="preserve">Exhibit 99.1 </w:t>
      </w:r>
    </w:p>
    <w:p>
      <w:pPr>
        <w:pStyle w:val="TextBody"/>
        <w:spacing w:before="180" w:after="0"/>
        <w:rPr/>
      </w:pPr>
      <w:r>
        <w:rPr/>
        <w:drawing>
          <wp:inline distT="0" distB="0" distL="0" distR="0">
            <wp:extent cx="5057775" cy="9239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2"/>
                    <a:stretch>
                      <a:fillRect/>
                    </a:stretch>
                  </pic:blipFill>
                  <pic:spPr bwMode="auto">
                    <a:xfrm>
                      <a:off x="0" y="0"/>
                      <a:ext cx="5057775" cy="923925"/>
                    </a:xfrm>
                    <a:prstGeom prst="rect">
                      <a:avLst/>
                    </a:prstGeom>
                    <a:noFill/>
                    <a:ln w="9525">
                      <a:noFill/>
                      <a:miter lim="800000"/>
                      <a:headEnd/>
                      <a:tailEnd/>
                    </a:ln>
                  </pic:spPr>
                </pic:pic>
              </a:graphicData>
            </a:graphic>
          </wp:inline>
        </w:drawing>
      </w:r>
      <w:r>
        <w:rPr/>
        <w:t xml:space="preserve"> </w:t>
      </w:r>
    </w:p>
    <w:p>
      <w:pPr>
        <w:pStyle w:val="TextBody"/>
        <w:spacing w:before="0" w:after="0"/>
        <w:rPr/>
      </w:pPr>
      <w:r>
        <w:rPr/>
        <w:t> </w:t>
      </w:r>
    </w:p>
    <w:tbl>
      <w:tblPr>
        <w:tblW w:w="5000" w:type="pct"/>
        <w:jc w:val="center"/>
        <w:tblInd w:w="0" w:type="dxa"/>
        <w:tblBorders/>
        <w:tblCellMar>
          <w:top w:w="0" w:type="dxa"/>
          <w:left w:w="0" w:type="dxa"/>
          <w:bottom w:w="0" w:type="dxa"/>
          <w:right w:w="0" w:type="dxa"/>
        </w:tblCellMar>
      </w:tblPr>
      <w:tblGrid>
        <w:gridCol w:w="883"/>
        <w:gridCol w:w="127"/>
        <w:gridCol w:w="10736"/>
      </w:tblGrid>
      <w:tr>
        <w:trPr/>
        <w:tc>
          <w:tcPr>
            <w:tcW w:w="883" w:type="dxa"/>
            <w:tcBorders/>
            <w:shd w:fill="auto" w:val="clear"/>
            <w:vAlign w:val="center"/>
          </w:tcPr>
          <w:p>
            <w:pPr>
              <w:pStyle w:val="TableContents"/>
              <w:spacing w:before="0" w:after="283"/>
              <w:rPr>
                <w:sz w:val="4"/>
                <w:szCs w:val="4"/>
              </w:rPr>
            </w:pPr>
            <w:r>
              <w:rPr>
                <w:sz w:val="4"/>
                <w:szCs w:val="4"/>
              </w:rPr>
            </w:r>
          </w:p>
        </w:tc>
        <w:tc>
          <w:tcPr>
            <w:tcW w:w="127" w:type="dxa"/>
            <w:tcBorders/>
            <w:shd w:fill="auto" w:val="clear"/>
            <w:vAlign w:val="bottom"/>
          </w:tcPr>
          <w:p>
            <w:pPr>
              <w:pStyle w:val="TableContents"/>
              <w:spacing w:before="0" w:after="283"/>
              <w:rPr>
                <w:sz w:val="4"/>
                <w:szCs w:val="4"/>
              </w:rPr>
            </w:pPr>
            <w:r>
              <w:rPr>
                <w:sz w:val="4"/>
                <w:szCs w:val="4"/>
              </w:rPr>
            </w:r>
          </w:p>
        </w:tc>
        <w:tc>
          <w:tcPr>
            <w:tcW w:w="10736" w:type="dxa"/>
            <w:tcBorders/>
            <w:shd w:fill="auto" w:val="clear"/>
            <w:vAlign w:val="center"/>
          </w:tcPr>
          <w:p>
            <w:pPr>
              <w:pStyle w:val="TableContents"/>
              <w:spacing w:before="0" w:after="283"/>
              <w:rPr>
                <w:sz w:val="4"/>
                <w:szCs w:val="4"/>
              </w:rPr>
            </w:pPr>
            <w:r>
              <w:rPr>
                <w:sz w:val="4"/>
                <w:szCs w:val="4"/>
              </w:rPr>
            </w:r>
          </w:p>
        </w:tc>
      </w:tr>
      <w:tr>
        <w:trPr/>
        <w:tc>
          <w:tcPr>
            <w:tcW w:w="883" w:type="dxa"/>
            <w:tcBorders/>
            <w:shd w:fill="auto" w:val="clear"/>
          </w:tcPr>
          <w:p>
            <w:pPr>
              <w:pStyle w:val="TableContents"/>
              <w:spacing w:before="0" w:after="283"/>
              <w:rPr>
                <w:sz w:val="20"/>
              </w:rPr>
            </w:pPr>
            <w:r>
              <w:rPr>
                <w:sz w:val="20"/>
              </w:rPr>
              <w:t>Contacts:</w:t>
            </w:r>
          </w:p>
        </w:tc>
        <w:tc>
          <w:tcPr>
            <w:tcW w:w="127" w:type="dxa"/>
            <w:tcBorders/>
            <w:shd w:fill="auto" w:val="clear"/>
            <w:vAlign w:val="bottom"/>
          </w:tcPr>
          <w:p>
            <w:pPr>
              <w:pStyle w:val="TableContents"/>
              <w:spacing w:before="0" w:after="283"/>
              <w:rPr/>
            </w:pPr>
            <w:r>
              <w:rPr/>
              <w:t>  </w:t>
            </w:r>
          </w:p>
        </w:tc>
        <w:tc>
          <w:tcPr>
            <w:tcW w:w="10736" w:type="dxa"/>
            <w:tcBorders/>
            <w:shd w:fill="auto" w:val="clear"/>
            <w:vAlign w:val="bottom"/>
          </w:tcPr>
          <w:p>
            <w:pPr>
              <w:pStyle w:val="TableContents"/>
              <w:spacing w:before="0" w:after="283"/>
              <w:rPr>
                <w:sz w:val="20"/>
              </w:rPr>
            </w:pPr>
            <w:r>
              <w:rPr>
                <w:sz w:val="20"/>
              </w:rPr>
              <w:t>Media – Alan H. McCoy, Vice President, Government &amp; Public Relations (513) 425-2826</w:t>
            </w:r>
          </w:p>
        </w:tc>
      </w:tr>
      <w:tr>
        <w:trPr/>
        <w:tc>
          <w:tcPr>
            <w:tcW w:w="883" w:type="dxa"/>
            <w:tcBorders/>
            <w:shd w:fill="auto" w:val="clear"/>
          </w:tcPr>
          <w:p>
            <w:pPr>
              <w:pStyle w:val="TableContents"/>
              <w:spacing w:before="0" w:after="283"/>
              <w:rPr>
                <w:sz w:val="4"/>
                <w:szCs w:val="4"/>
              </w:rPr>
            </w:pPr>
            <w:r>
              <w:rPr>
                <w:sz w:val="4"/>
                <w:szCs w:val="4"/>
              </w:rPr>
            </w:r>
          </w:p>
        </w:tc>
        <w:tc>
          <w:tcPr>
            <w:tcW w:w="127" w:type="dxa"/>
            <w:tcBorders/>
            <w:shd w:fill="auto" w:val="clear"/>
            <w:vAlign w:val="bottom"/>
          </w:tcPr>
          <w:p>
            <w:pPr>
              <w:pStyle w:val="TableContents"/>
              <w:spacing w:before="0" w:after="283"/>
              <w:rPr/>
            </w:pPr>
            <w:r>
              <w:rPr/>
              <w:t>  </w:t>
            </w:r>
          </w:p>
        </w:tc>
        <w:tc>
          <w:tcPr>
            <w:tcW w:w="10736" w:type="dxa"/>
            <w:tcBorders/>
            <w:shd w:fill="auto" w:val="clear"/>
            <w:vAlign w:val="bottom"/>
          </w:tcPr>
          <w:p>
            <w:pPr>
              <w:pStyle w:val="TableContents"/>
              <w:spacing w:before="0" w:after="283"/>
              <w:rPr>
                <w:sz w:val="20"/>
              </w:rPr>
            </w:pPr>
            <w:r>
              <w:rPr>
                <w:sz w:val="20"/>
              </w:rPr>
              <w:t>Investors – Albert E. Ferrara, Jr., Vice President, Finance &amp; CFO (513) 425-2888</w:t>
            </w:r>
          </w:p>
        </w:tc>
      </w:tr>
    </w:tbl>
    <w:p>
      <w:pPr>
        <w:pStyle w:val="TextBody"/>
        <w:spacing w:before="360" w:after="0"/>
        <w:jc w:val="center"/>
        <w:rPr>
          <w:b/>
          <w:sz w:val="20"/>
        </w:rPr>
      </w:pPr>
      <w:r>
        <w:rPr>
          <w:b/>
          <w:sz w:val="20"/>
        </w:rPr>
        <w:t xml:space="preserve">AK Steel and IAM Reach Tentative Contract Agreement For Middletown Works </w:t>
      </w:r>
    </w:p>
    <w:p>
      <w:pPr>
        <w:pStyle w:val="TextBody"/>
        <w:spacing w:before="180" w:after="0"/>
        <w:rPr>
          <w:sz w:val="20"/>
        </w:rPr>
      </w:pPr>
      <w:r>
        <w:rPr>
          <w:sz w:val="20"/>
        </w:rPr>
        <w:t xml:space="preserve">MIDDLETOWN, OH, February 28, 2007 — AK Steel (NYSE: AKS) and the International Association of Machinists and Aerospace Workers (IAM) have reached a tentative agreement on a new labor contract covering about 1,750 hourly production and maintenance employees at the company’s Middletown (OH) Works. </w:t>
      </w:r>
    </w:p>
    <w:p>
      <w:pPr>
        <w:pStyle w:val="TextBody"/>
        <w:spacing w:before="180" w:after="0"/>
        <w:rPr>
          <w:sz w:val="20"/>
        </w:rPr>
      </w:pPr>
      <w:r>
        <w:rPr>
          <w:sz w:val="20"/>
        </w:rPr>
        <w:t xml:space="preserve">The IAM told the company today that it would present the contract to its members for ratification. The new agreement would be effective March 15, 2007, and run through September 15, 2011. </w:t>
      </w:r>
    </w:p>
    <w:p>
      <w:pPr>
        <w:pStyle w:val="TextBody"/>
        <w:spacing w:before="180" w:after="0"/>
        <w:rPr>
          <w:sz w:val="20"/>
        </w:rPr>
      </w:pPr>
      <w:r>
        <w:rPr>
          <w:sz w:val="20"/>
        </w:rPr>
        <w:t xml:space="preserve">Headquartered in Middletown, Ohio, AK Steel produces flat-rolled carbon, stainless and electrical steel products, as well as carbon and stainless tubular steel products, for automotive, appliance, construction and manufacturing markets. </w:t>
      </w:r>
    </w:p>
    <w:p>
      <w:pPr>
        <w:pStyle w:val="TextBody"/>
        <w:spacing w:before="180" w:after="0"/>
        <w:jc w:val="center"/>
        <w:rPr>
          <w:sz w:val="20"/>
        </w:rPr>
      </w:pPr>
      <w:r>
        <w:rPr>
          <w:sz w:val="20"/>
        </w:rPr>
        <w:t xml:space="preserve"># # # </w:t>
      </w:r>
    </w:p>
    <w:sectPr>
      <w:type w:val="nextPage"/>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s>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Text Body"/>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www.sec.gov/Archives/edgar/data/918160/000119312507042785/g64096img001.jpg"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