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ind w:left="0" w:right="0" w:hanging="0"/>
        <w:jc w:val="right"/>
        <w:rPr>
          <w:rFonts w:ascii="Times New Roman" w:hAnsi="Times New Roman"/>
          <w:b/>
          <w:sz w:val="20"/>
        </w:rPr>
      </w:pPr>
      <w:r>
        <w:rPr>
          <w:rFonts w:ascii="Times New Roman" w:hAnsi="Times New Roman"/>
          <w:b/>
          <w:sz w:val="20"/>
        </w:rPr>
        <w:t>EXHIBIT 10.2</w:t>
      </w:r>
    </w:p>
    <w:p>
      <w:pPr>
        <w:pStyle w:val="TextBody"/>
        <w:spacing w:before="0" w:after="0"/>
        <w:ind w:left="0" w:right="0" w:hanging="0"/>
        <w:jc w:val="center"/>
        <w:rPr/>
      </w:pPr>
      <w:r>
        <w:rPr/>
        <w:t> </w:t>
      </w:r>
    </w:p>
    <w:p>
      <w:pPr>
        <w:pStyle w:val="TextBody"/>
        <w:spacing w:before="0" w:after="0"/>
        <w:ind w:left="0" w:right="0" w:hanging="0"/>
        <w:jc w:val="center"/>
        <w:rPr/>
      </w:pPr>
      <w:r>
        <w:rPr/>
        <w:drawing>
          <wp:inline distT="0" distB="0" distL="0" distR="0">
            <wp:extent cx="2038350" cy="17240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2038350" cy="1724025"/>
                    </a:xfrm>
                    <a:prstGeom prst="rect">
                      <a:avLst/>
                    </a:prstGeom>
                    <a:noFill/>
                    <a:ln w="9525">
                      <a:noFill/>
                      <a:miter lim="800000"/>
                      <a:headEnd/>
                      <a:tailEnd/>
                    </a:ln>
                  </pic:spPr>
                </pic:pic>
              </a:graphicData>
            </a:graphic>
          </wp:inline>
        </w:drawing>
      </w: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b/>
          <w:sz w:val="24"/>
        </w:rPr>
      </w:pPr>
      <w:r>
        <w:rPr>
          <w:rFonts w:ascii="Times New Roman" w:hAnsi="Times New Roman"/>
          <w:b/>
          <w:sz w:val="24"/>
        </w:rPr>
        <w:t>CONTRACT AGREEMENT</w:t>
      </w:r>
    </w:p>
    <w:p>
      <w:pPr>
        <w:pStyle w:val="TextBody"/>
        <w:spacing w:before="0" w:after="0"/>
        <w:ind w:left="0" w:right="0" w:hanging="0"/>
        <w:jc w:val="center"/>
        <w:rPr>
          <w:rFonts w:ascii="Times New Roman" w:hAnsi="Times New Roman"/>
          <w:sz w:val="20"/>
        </w:rPr>
      </w:pPr>
      <w:r>
        <w:rPr>
          <w:rFonts w:ascii="Times New Roman" w:hAnsi="Times New Roman"/>
          <w:sz w:val="20"/>
        </w:rPr>
        <w:t>Appointment of Production and Consulting Services</w:t>
      </w: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July 14, 2011</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 xml:space="preserve">This Contractual Agreement is executed on July 14, 2011, between Moving Box Entertainment, LLC. With offices located at 222 E. Jones Ave., Wake Forest, NC 27587, herein referred to as </w:t>
      </w:r>
      <w:r>
        <w:rPr>
          <w:rFonts w:ascii="Times New Roman" w:hAnsi="Times New Roman"/>
          <w:b/>
          <w:sz w:val="20"/>
        </w:rPr>
        <w:t xml:space="preserve">"7W" </w:t>
      </w:r>
      <w:r>
        <w:rPr>
          <w:rFonts w:ascii="Times New Roman" w:hAnsi="Times New Roman"/>
          <w:sz w:val="20"/>
        </w:rPr>
        <w:t>and 7 Worldwide Inc</w:t>
      </w:r>
      <w:r>
        <w:rPr>
          <w:rFonts w:ascii="Times New Roman" w:hAnsi="Times New Roman"/>
          <w:b/>
          <w:sz w:val="20"/>
        </w:rPr>
        <w:t>.j</w:t>
      </w:r>
      <w:r>
        <w:rPr>
          <w:rFonts w:ascii="Times New Roman" w:hAnsi="Times New Roman"/>
          <w:sz w:val="20"/>
        </w:rPr>
        <w:t>with offices located at 704 Richland Bluff CT. Wake Forest NC 27587 herein referred to as "7W". This is the appointment of Moving Box Entertainment, LLC to be the production and media consultant company for the development and creation of content for 7 worldwide Inc.</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CONTRACT AGREEMENT:</w:t>
      </w:r>
    </w:p>
    <w:p>
      <w:pPr>
        <w:pStyle w:val="TextBody"/>
        <w:spacing w:before="0" w:after="0"/>
        <w:ind w:left="0" w:right="0" w:hanging="0"/>
        <w:jc w:val="left"/>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7W agrees to appoint MBE to be the production company for the development, consulting and production and postproduction of content.</w:t>
      </w:r>
    </w:p>
    <w:p>
      <w:pPr>
        <w:pStyle w:val="TextBody"/>
        <w:spacing w:before="0" w:after="0"/>
        <w:ind w:left="0" w:right="0" w:hanging="0"/>
        <w:rPr/>
      </w:pPr>
      <w:r>
        <w:rPr/>
      </w:r>
    </w:p>
    <w:p>
      <w:pPr>
        <w:pStyle w:val="TextBody"/>
        <w:spacing w:before="0" w:after="0"/>
        <w:ind w:left="0" w:right="0" w:hanging="0"/>
        <w:jc w:val="both"/>
        <w:rPr>
          <w:rFonts w:ascii="Times New Roman" w:hAnsi="Times New Roman"/>
          <w:b/>
          <w:sz w:val="20"/>
        </w:rPr>
      </w:pPr>
      <w:r>
        <w:rPr>
          <w:rFonts w:ascii="Times New Roman" w:hAnsi="Times New Roman"/>
          <w:b/>
          <w:sz w:val="20"/>
          <w:u w:val="single"/>
        </w:rPr>
        <w:t>GENERAL TERMS</w:t>
      </w:r>
      <w:r>
        <w:rPr>
          <w:rFonts w:ascii="Times New Roman" w:hAnsi="Times New Roman"/>
          <w:b/>
          <w:sz w:val="20"/>
        </w:rPr>
        <w:t>:</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This appointment is for services only of the content by MBE for 7W. It is in no way, nor does it imply or confirm the transfer of any rights, privileges or ownership to MBE by 7W for producing the content. MBE further agrees that it is only being contracted to produce the content. This contract shall be for a period of twelve months (12 months) with an option for a second term of 12 months. Either party can cancel at any time.</w:t>
      </w:r>
    </w:p>
    <w:p>
      <w:pPr>
        <w:pStyle w:val="TextBody"/>
        <w:spacing w:before="0" w:after="0"/>
        <w:ind w:left="0" w:right="0" w:hanging="0"/>
        <w:rPr/>
      </w:pPr>
      <w:r>
        <w:rPr/>
      </w:r>
    </w:p>
    <w:p>
      <w:pPr>
        <w:pStyle w:val="TextBody"/>
        <w:spacing w:before="0" w:after="0"/>
        <w:ind w:left="0" w:right="0" w:hanging="0"/>
        <w:jc w:val="both"/>
        <w:rPr>
          <w:rFonts w:ascii="Times New Roman" w:hAnsi="Times New Roman"/>
          <w:b/>
          <w:sz w:val="20"/>
          <w:u w:val="single"/>
        </w:rPr>
      </w:pPr>
      <w:r>
        <w:rPr>
          <w:rFonts w:ascii="Times New Roman" w:hAnsi="Times New Roman"/>
          <w:b/>
          <w:sz w:val="20"/>
          <w:u w:val="single"/>
        </w:rPr>
        <w:t>7W AGREES TO:</w:t>
      </w:r>
    </w:p>
    <w:p>
      <w:pPr>
        <w:pStyle w:val="TextBody"/>
        <w:spacing w:before="0" w:after="0"/>
        <w:ind w:left="0" w:right="0" w:hanging="0"/>
        <w:rPr/>
      </w:pPr>
      <w:r>
        <w:rPr/>
        <w:t> </w:t>
      </w:r>
    </w:p>
    <w:p>
      <w:pPr>
        <w:pStyle w:val="Normal"/>
        <w:spacing w:before="0" w:after="0"/>
        <w:ind w:left="0" w:right="0" w:hanging="0"/>
        <w:rPr>
          <w:sz w:val="4"/>
          <w:szCs w:val="4"/>
        </w:rPr>
      </w:pPr>
      <w:bookmarkStart w:id="0" w:name="hangingindent"/>
      <w:bookmarkStart w:id="1" w:name="hangingindent"/>
      <w:bookmarkEnd w:id="1"/>
      <w:r>
        <w:rPr>
          <w:sz w:val="4"/>
          <w:szCs w:val="4"/>
        </w:rPr>
      </w:r>
    </w:p>
    <w:tbl>
      <w:tblPr>
        <w:tblW w:w="5000" w:type="pct"/>
        <w:jc w:val="left"/>
        <w:tblInd w:w="0" w:type="dxa"/>
        <w:tblBorders/>
        <w:tblCellMar>
          <w:top w:w="0" w:type="dxa"/>
          <w:left w:w="0" w:type="dxa"/>
          <w:bottom w:w="0" w:type="dxa"/>
          <w:right w:w="0" w:type="dxa"/>
        </w:tblCellMar>
      </w:tblPr>
      <w:tblGrid>
        <w:gridCol w:w="277"/>
        <w:gridCol w:w="11229"/>
      </w:tblGrid>
      <w:tr>
        <w:trPr/>
        <w:tc>
          <w:tcPr>
            <w:tcW w:w="277"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1)</w:t>
            </w:r>
            <w:bookmarkStart w:id="2" w:name="TAB2"/>
            <w:bookmarkEnd w:id="2"/>
            <w:r>
              <w:rPr>
                <w:rFonts w:ascii="Times New Roman" w:hAnsi="Times New Roman"/>
                <w:spacing w:val="180"/>
                <w:sz w:val="20"/>
              </w:rPr>
              <w:t>   </w:t>
            </w:r>
          </w:p>
        </w:tc>
        <w:tc>
          <w:tcPr>
            <w:tcW w:w="11229"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Pay the consulting fee of $26,000.00/mo = $312,000.00 plus incidentals for consulting development of content.</w:t>
            </w:r>
          </w:p>
        </w:tc>
      </w:tr>
    </w:tbl>
    <w:p>
      <w:pPr>
        <w:pStyle w:val="Normal"/>
        <w:spacing w:before="0" w:after="0"/>
        <w:ind w:left="0" w:right="0" w:hanging="0"/>
        <w:rPr>
          <w:sz w:val="4"/>
          <w:szCs w:val="4"/>
        </w:rPr>
      </w:pPr>
      <w:bookmarkStart w:id="3" w:name="hangingindent3"/>
      <w:bookmarkStart w:id="4" w:name="hangingindent3"/>
      <w:bookmarkEnd w:id="4"/>
      <w:r>
        <w:rPr>
          <w:sz w:val="4"/>
          <w:szCs w:val="4"/>
        </w:rPr>
      </w:r>
    </w:p>
    <w:tbl>
      <w:tblPr>
        <w:tblW w:w="5000" w:type="pct"/>
        <w:jc w:val="left"/>
        <w:tblInd w:w="0" w:type="dxa"/>
        <w:tblBorders/>
        <w:tblCellMar>
          <w:top w:w="0" w:type="dxa"/>
          <w:left w:w="0" w:type="dxa"/>
          <w:bottom w:w="0" w:type="dxa"/>
          <w:right w:w="0" w:type="dxa"/>
        </w:tblCellMar>
      </w:tblPr>
      <w:tblGrid>
        <w:gridCol w:w="277"/>
        <w:gridCol w:w="11229"/>
      </w:tblGrid>
      <w:tr>
        <w:trPr/>
        <w:tc>
          <w:tcPr>
            <w:tcW w:w="277"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2)</w:t>
            </w:r>
            <w:bookmarkStart w:id="5" w:name="TAB24"/>
            <w:bookmarkEnd w:id="5"/>
            <w:r>
              <w:rPr>
                <w:rFonts w:ascii="Times New Roman" w:hAnsi="Times New Roman"/>
                <w:spacing w:val="180"/>
                <w:sz w:val="20"/>
              </w:rPr>
              <w:t>   </w:t>
            </w:r>
          </w:p>
        </w:tc>
        <w:tc>
          <w:tcPr>
            <w:tcW w:w="11229"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Develop budget for the production of the content.</w:t>
            </w:r>
          </w:p>
        </w:tc>
      </w:tr>
    </w:tbl>
    <w:p>
      <w:pPr>
        <w:pStyle w:val="Normal"/>
        <w:spacing w:before="0" w:after="0"/>
        <w:ind w:left="0" w:right="0" w:hanging="0"/>
        <w:rPr>
          <w:sz w:val="4"/>
          <w:szCs w:val="4"/>
        </w:rPr>
      </w:pPr>
      <w:bookmarkStart w:id="6" w:name="hangingindent5"/>
      <w:bookmarkStart w:id="7" w:name="hangingindent5"/>
      <w:bookmarkEnd w:id="7"/>
      <w:r>
        <w:rPr>
          <w:sz w:val="4"/>
          <w:szCs w:val="4"/>
        </w:rPr>
      </w:r>
    </w:p>
    <w:tbl>
      <w:tblPr>
        <w:tblW w:w="5000" w:type="pct"/>
        <w:jc w:val="left"/>
        <w:tblInd w:w="0" w:type="dxa"/>
        <w:tblBorders/>
        <w:tblCellMar>
          <w:top w:w="0" w:type="dxa"/>
          <w:left w:w="0" w:type="dxa"/>
          <w:bottom w:w="0" w:type="dxa"/>
          <w:right w:w="0" w:type="dxa"/>
        </w:tblCellMar>
      </w:tblPr>
      <w:tblGrid>
        <w:gridCol w:w="278"/>
        <w:gridCol w:w="11228"/>
      </w:tblGrid>
      <w:tr>
        <w:trPr/>
        <w:tc>
          <w:tcPr>
            <w:tcW w:w="278"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3)</w:t>
            </w:r>
            <w:bookmarkStart w:id="8" w:name="TAB26"/>
            <w:bookmarkEnd w:id="8"/>
            <w:r>
              <w:rPr>
                <w:rFonts w:ascii="Times New Roman" w:hAnsi="Times New Roman"/>
                <w:spacing w:val="180"/>
                <w:sz w:val="20"/>
              </w:rPr>
              <w:t>   </w:t>
            </w:r>
          </w:p>
        </w:tc>
        <w:tc>
          <w:tcPr>
            <w:tcW w:w="11228"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Provide overall direction and ideas</w:t>
            </w:r>
          </w:p>
        </w:tc>
      </w:tr>
    </w:tbl>
    <w:p>
      <w:pPr>
        <w:pStyle w:val="Normal"/>
        <w:spacing w:before="0" w:after="0"/>
        <w:ind w:left="0" w:right="0" w:hanging="0"/>
        <w:rPr>
          <w:sz w:val="4"/>
          <w:szCs w:val="4"/>
        </w:rPr>
      </w:pPr>
      <w:bookmarkStart w:id="9" w:name="hangingindent7"/>
      <w:bookmarkStart w:id="10" w:name="hangingindent7"/>
      <w:bookmarkEnd w:id="10"/>
      <w:r>
        <w:rPr>
          <w:sz w:val="4"/>
          <w:szCs w:val="4"/>
        </w:rPr>
      </w:r>
    </w:p>
    <w:tbl>
      <w:tblPr>
        <w:tblW w:w="5000" w:type="pct"/>
        <w:jc w:val="left"/>
        <w:tblInd w:w="0" w:type="dxa"/>
        <w:tblBorders/>
        <w:tblCellMar>
          <w:top w:w="0" w:type="dxa"/>
          <w:left w:w="0" w:type="dxa"/>
          <w:bottom w:w="0" w:type="dxa"/>
          <w:right w:w="0" w:type="dxa"/>
        </w:tblCellMar>
      </w:tblPr>
      <w:tblGrid>
        <w:gridCol w:w="277"/>
        <w:gridCol w:w="11229"/>
      </w:tblGrid>
      <w:tr>
        <w:trPr/>
        <w:tc>
          <w:tcPr>
            <w:tcW w:w="277"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4)</w:t>
            </w:r>
            <w:bookmarkStart w:id="11" w:name="TAB28"/>
            <w:bookmarkEnd w:id="11"/>
            <w:r>
              <w:rPr>
                <w:rFonts w:ascii="Times New Roman" w:hAnsi="Times New Roman"/>
                <w:spacing w:val="180"/>
                <w:sz w:val="20"/>
              </w:rPr>
              <w:t>   </w:t>
            </w:r>
          </w:p>
        </w:tc>
        <w:tc>
          <w:tcPr>
            <w:tcW w:w="11229"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Work with MBE on strategies and overall goals.</w:t>
            </w:r>
          </w:p>
        </w:tc>
      </w:tr>
    </w:tbl>
    <w:p>
      <w:pPr>
        <w:pStyle w:val="TextBody"/>
        <w:spacing w:before="0" w:after="0"/>
        <w:ind w:left="0" w:right="0" w:hanging="0"/>
        <w:jc w:val="left"/>
        <w:rPr/>
      </w:pPr>
      <w:r>
        <w:rPr/>
        <w:t> </w:t>
      </w:r>
    </w:p>
    <w:p>
      <w:pPr>
        <w:pStyle w:val="TextBody"/>
        <w:spacing w:before="0" w:after="0"/>
        <w:ind w:left="0" w:right="0" w:hanging="0"/>
        <w:jc w:val="both"/>
        <w:rPr>
          <w:rFonts w:ascii="Times New Roman" w:hAnsi="Times New Roman"/>
          <w:b/>
          <w:sz w:val="20"/>
          <w:u w:val="single"/>
        </w:rPr>
      </w:pPr>
      <w:r>
        <w:rPr>
          <w:rFonts w:ascii="Times New Roman" w:hAnsi="Times New Roman"/>
          <w:b/>
          <w:sz w:val="20"/>
          <w:u w:val="single"/>
        </w:rPr>
        <w:t>MBE AGREES TO:</w:t>
      </w:r>
    </w:p>
    <w:p>
      <w:pPr>
        <w:pStyle w:val="TextBody"/>
        <w:spacing w:before="0" w:after="0"/>
        <w:ind w:left="0" w:right="0" w:hanging="0"/>
        <w:jc w:val="both"/>
        <w:rPr/>
      </w:pPr>
      <w:r>
        <w:rPr/>
        <w:t> </w:t>
      </w:r>
    </w:p>
    <w:p>
      <w:pPr>
        <w:pStyle w:val="Normal"/>
        <w:spacing w:before="0" w:after="0"/>
        <w:ind w:left="0" w:right="0" w:hanging="0"/>
        <w:rPr>
          <w:sz w:val="4"/>
          <w:szCs w:val="4"/>
        </w:rPr>
      </w:pPr>
      <w:bookmarkStart w:id="12" w:name="hangingindent9"/>
      <w:bookmarkStart w:id="13" w:name="hangingindent9"/>
      <w:bookmarkEnd w:id="13"/>
      <w:r>
        <w:rPr>
          <w:sz w:val="4"/>
          <w:szCs w:val="4"/>
        </w:rPr>
      </w:r>
    </w:p>
    <w:tbl>
      <w:tblPr>
        <w:tblW w:w="5000" w:type="pct"/>
        <w:jc w:val="left"/>
        <w:tblInd w:w="0" w:type="dxa"/>
        <w:tblBorders/>
        <w:tblCellMar>
          <w:top w:w="0" w:type="dxa"/>
          <w:left w:w="0" w:type="dxa"/>
          <w:bottom w:w="0" w:type="dxa"/>
          <w:right w:w="0" w:type="dxa"/>
        </w:tblCellMar>
      </w:tblPr>
      <w:tblGrid>
        <w:gridCol w:w="277"/>
        <w:gridCol w:w="11229"/>
      </w:tblGrid>
      <w:tr>
        <w:trPr/>
        <w:tc>
          <w:tcPr>
            <w:tcW w:w="277"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1)</w:t>
            </w:r>
            <w:bookmarkStart w:id="14" w:name="TAB210"/>
            <w:bookmarkEnd w:id="14"/>
            <w:r>
              <w:rPr>
                <w:rFonts w:ascii="Times New Roman" w:hAnsi="Times New Roman"/>
                <w:spacing w:val="180"/>
                <w:sz w:val="20"/>
              </w:rPr>
              <w:t>   </w:t>
            </w:r>
          </w:p>
        </w:tc>
        <w:tc>
          <w:tcPr>
            <w:tcW w:w="11229" w:type="dxa"/>
            <w:tcBorders/>
            <w:shd w:fill="auto" w:val="clear"/>
          </w:tcPr>
          <w:p>
            <w:pPr>
              <w:pStyle w:val="TableContents"/>
              <w:spacing w:before="0" w:after="0"/>
              <w:ind w:left="0" w:right="0" w:hanging="0"/>
              <w:jc w:val="left"/>
              <w:rPr>
                <w:rFonts w:ascii="Times New Roman" w:hAnsi="Times New Roman"/>
                <w:sz w:val="20"/>
              </w:rPr>
            </w:pPr>
            <w:bookmarkStart w:id="15" w:name="TAB211"/>
            <w:bookmarkEnd w:id="15"/>
            <w:r>
              <w:rPr>
                <w:rFonts w:ascii="Times New Roman" w:hAnsi="Times New Roman"/>
                <w:sz w:val="20"/>
              </w:rPr>
              <w:t>Provide monthly consulting on the development of content</w:t>
            </w:r>
          </w:p>
        </w:tc>
      </w:tr>
    </w:tbl>
    <w:p>
      <w:pPr>
        <w:pStyle w:val="Normal"/>
        <w:spacing w:before="0" w:after="0"/>
        <w:ind w:left="0" w:right="0" w:hanging="0"/>
        <w:rPr>
          <w:sz w:val="4"/>
          <w:szCs w:val="4"/>
        </w:rPr>
      </w:pPr>
      <w:bookmarkStart w:id="16" w:name="hangingindent12"/>
      <w:bookmarkStart w:id="17" w:name="hangingindent12"/>
      <w:bookmarkEnd w:id="17"/>
      <w:r>
        <w:rPr>
          <w:sz w:val="4"/>
          <w:szCs w:val="4"/>
        </w:rPr>
      </w:r>
    </w:p>
    <w:tbl>
      <w:tblPr>
        <w:tblW w:w="5000" w:type="pct"/>
        <w:jc w:val="left"/>
        <w:tblInd w:w="0" w:type="dxa"/>
        <w:tblBorders/>
        <w:tblCellMar>
          <w:top w:w="0" w:type="dxa"/>
          <w:left w:w="0" w:type="dxa"/>
          <w:bottom w:w="0" w:type="dxa"/>
          <w:right w:w="0" w:type="dxa"/>
        </w:tblCellMar>
      </w:tblPr>
      <w:tblGrid>
        <w:gridCol w:w="277"/>
        <w:gridCol w:w="11229"/>
      </w:tblGrid>
      <w:tr>
        <w:trPr/>
        <w:tc>
          <w:tcPr>
            <w:tcW w:w="277"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2)</w:t>
            </w:r>
            <w:bookmarkStart w:id="18" w:name="TAB213"/>
            <w:bookmarkEnd w:id="18"/>
            <w:r>
              <w:rPr>
                <w:rFonts w:ascii="Times New Roman" w:hAnsi="Times New Roman"/>
                <w:spacing w:val="180"/>
                <w:sz w:val="20"/>
              </w:rPr>
              <w:t>   </w:t>
            </w:r>
          </w:p>
        </w:tc>
        <w:tc>
          <w:tcPr>
            <w:tcW w:w="11229" w:type="dxa"/>
            <w:tcBorders/>
            <w:shd w:fill="auto" w:val="clear"/>
          </w:tcPr>
          <w:p>
            <w:pPr>
              <w:pStyle w:val="TableContents"/>
              <w:spacing w:before="0" w:after="0"/>
              <w:ind w:left="0" w:right="0" w:hanging="0"/>
              <w:jc w:val="left"/>
              <w:rPr>
                <w:rFonts w:ascii="Times New Roman" w:hAnsi="Times New Roman"/>
                <w:sz w:val="20"/>
              </w:rPr>
            </w:pPr>
            <w:bookmarkStart w:id="19" w:name="TAB214"/>
            <w:bookmarkEnd w:id="19"/>
            <w:r>
              <w:rPr>
                <w:rFonts w:ascii="Times New Roman" w:hAnsi="Times New Roman"/>
                <w:sz w:val="20"/>
              </w:rPr>
              <w:t>Provide 7W with Marketing Materials</w:t>
            </w:r>
          </w:p>
        </w:tc>
      </w:tr>
    </w:tbl>
    <w:p>
      <w:pPr>
        <w:pStyle w:val="Normal"/>
        <w:spacing w:before="0" w:after="0"/>
        <w:ind w:left="0" w:right="0" w:hanging="0"/>
        <w:rPr>
          <w:sz w:val="4"/>
          <w:szCs w:val="4"/>
        </w:rPr>
      </w:pPr>
      <w:bookmarkStart w:id="20" w:name="hangingindent15"/>
      <w:bookmarkStart w:id="21" w:name="hangingindent15"/>
      <w:bookmarkEnd w:id="21"/>
      <w:r>
        <w:rPr>
          <w:sz w:val="4"/>
          <w:szCs w:val="4"/>
        </w:rPr>
      </w:r>
    </w:p>
    <w:tbl>
      <w:tblPr>
        <w:tblW w:w="5000" w:type="pct"/>
        <w:jc w:val="left"/>
        <w:tblInd w:w="0" w:type="dxa"/>
        <w:tblBorders/>
        <w:tblCellMar>
          <w:top w:w="0" w:type="dxa"/>
          <w:left w:w="0" w:type="dxa"/>
          <w:bottom w:w="0" w:type="dxa"/>
          <w:right w:w="0" w:type="dxa"/>
        </w:tblCellMar>
      </w:tblPr>
      <w:tblGrid>
        <w:gridCol w:w="277"/>
        <w:gridCol w:w="11229"/>
      </w:tblGrid>
      <w:tr>
        <w:trPr/>
        <w:tc>
          <w:tcPr>
            <w:tcW w:w="277"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3)</w:t>
            </w:r>
            <w:bookmarkStart w:id="22" w:name="TAB216"/>
            <w:bookmarkEnd w:id="22"/>
            <w:r>
              <w:rPr>
                <w:rFonts w:ascii="Times New Roman" w:hAnsi="Times New Roman"/>
                <w:spacing w:val="180"/>
                <w:sz w:val="20"/>
              </w:rPr>
              <w:t>   </w:t>
            </w:r>
          </w:p>
        </w:tc>
        <w:tc>
          <w:tcPr>
            <w:tcW w:w="11229" w:type="dxa"/>
            <w:tcBorders/>
            <w:shd w:fill="auto" w:val="clear"/>
          </w:tcPr>
          <w:p>
            <w:pPr>
              <w:pStyle w:val="TableContents"/>
              <w:spacing w:before="0" w:after="0"/>
              <w:ind w:left="0" w:right="0" w:hanging="0"/>
              <w:jc w:val="left"/>
              <w:rPr>
                <w:rFonts w:ascii="Times New Roman" w:hAnsi="Times New Roman"/>
                <w:sz w:val="20"/>
              </w:rPr>
            </w:pPr>
            <w:bookmarkStart w:id="23" w:name="TAB217"/>
            <w:bookmarkEnd w:id="23"/>
            <w:r>
              <w:rPr>
                <w:rFonts w:ascii="Times New Roman" w:hAnsi="Times New Roman"/>
                <w:sz w:val="20"/>
              </w:rPr>
              <w:t>Provide 7W with a distribution strategy</w:t>
            </w:r>
          </w:p>
        </w:tc>
      </w:tr>
    </w:tbl>
    <w:p>
      <w:pPr>
        <w:pStyle w:val="Normal"/>
        <w:spacing w:before="0" w:after="0"/>
        <w:ind w:left="0" w:right="0" w:hanging="0"/>
        <w:rPr>
          <w:sz w:val="4"/>
          <w:szCs w:val="4"/>
        </w:rPr>
      </w:pPr>
      <w:bookmarkStart w:id="24" w:name="hangingindent18"/>
      <w:bookmarkStart w:id="25" w:name="hangingindent18"/>
      <w:bookmarkEnd w:id="25"/>
      <w:r>
        <w:rPr>
          <w:sz w:val="4"/>
          <w:szCs w:val="4"/>
        </w:rPr>
      </w:r>
    </w:p>
    <w:tbl>
      <w:tblPr>
        <w:tblW w:w="5000" w:type="pct"/>
        <w:jc w:val="left"/>
        <w:tblInd w:w="0" w:type="dxa"/>
        <w:tblBorders/>
        <w:tblCellMar>
          <w:top w:w="0" w:type="dxa"/>
          <w:left w:w="0" w:type="dxa"/>
          <w:bottom w:w="0" w:type="dxa"/>
          <w:right w:w="0" w:type="dxa"/>
        </w:tblCellMar>
      </w:tblPr>
      <w:tblGrid>
        <w:gridCol w:w="277"/>
        <w:gridCol w:w="11229"/>
      </w:tblGrid>
      <w:tr>
        <w:trPr/>
        <w:tc>
          <w:tcPr>
            <w:tcW w:w="277"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4)</w:t>
            </w:r>
            <w:bookmarkStart w:id="26" w:name="TAB219"/>
            <w:bookmarkEnd w:id="26"/>
            <w:r>
              <w:rPr>
                <w:rFonts w:ascii="Times New Roman" w:hAnsi="Times New Roman"/>
                <w:spacing w:val="180"/>
                <w:sz w:val="20"/>
              </w:rPr>
              <w:t>   </w:t>
            </w:r>
          </w:p>
        </w:tc>
        <w:tc>
          <w:tcPr>
            <w:tcW w:w="11229" w:type="dxa"/>
            <w:tcBorders/>
            <w:shd w:fill="auto" w:val="clear"/>
          </w:tcPr>
          <w:p>
            <w:pPr>
              <w:pStyle w:val="TableContents"/>
              <w:spacing w:before="0" w:after="0"/>
              <w:ind w:left="0" w:right="0" w:hanging="0"/>
              <w:jc w:val="left"/>
              <w:rPr>
                <w:rFonts w:ascii="Times New Roman" w:hAnsi="Times New Roman"/>
                <w:sz w:val="20"/>
              </w:rPr>
            </w:pPr>
            <w:bookmarkStart w:id="27" w:name="TAB220"/>
            <w:bookmarkEnd w:id="27"/>
            <w:r>
              <w:rPr>
                <w:rFonts w:ascii="Times New Roman" w:hAnsi="Times New Roman"/>
                <w:sz w:val="20"/>
              </w:rPr>
              <w:t>Provide 7W with ways to maximize the of its developed content</w:t>
            </w:r>
          </w:p>
        </w:tc>
      </w:tr>
    </w:tbl>
    <w:p>
      <w:pPr>
        <w:pStyle w:val="Normal"/>
        <w:spacing w:before="0" w:after="0"/>
        <w:ind w:left="0" w:right="0" w:hanging="0"/>
        <w:rPr>
          <w:sz w:val="4"/>
          <w:szCs w:val="4"/>
        </w:rPr>
      </w:pPr>
      <w:bookmarkStart w:id="28" w:name="hangingindent21"/>
      <w:bookmarkStart w:id="29" w:name="hangingindent21"/>
      <w:bookmarkEnd w:id="29"/>
      <w:r>
        <w:rPr>
          <w:sz w:val="4"/>
          <w:szCs w:val="4"/>
        </w:rPr>
      </w:r>
    </w:p>
    <w:tbl>
      <w:tblPr>
        <w:tblW w:w="5000" w:type="pct"/>
        <w:jc w:val="left"/>
        <w:tblInd w:w="0" w:type="dxa"/>
        <w:tblBorders/>
        <w:tblCellMar>
          <w:top w:w="0" w:type="dxa"/>
          <w:left w:w="0" w:type="dxa"/>
          <w:bottom w:w="0" w:type="dxa"/>
          <w:right w:w="0" w:type="dxa"/>
        </w:tblCellMar>
      </w:tblPr>
      <w:tblGrid>
        <w:gridCol w:w="277"/>
        <w:gridCol w:w="11229"/>
      </w:tblGrid>
      <w:tr>
        <w:trPr/>
        <w:tc>
          <w:tcPr>
            <w:tcW w:w="277"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5)</w:t>
            </w:r>
            <w:bookmarkStart w:id="30" w:name="TAB222"/>
            <w:bookmarkEnd w:id="30"/>
            <w:r>
              <w:rPr>
                <w:rFonts w:ascii="Times New Roman" w:hAnsi="Times New Roman"/>
                <w:spacing w:val="180"/>
                <w:sz w:val="20"/>
              </w:rPr>
              <w:t>   </w:t>
            </w:r>
          </w:p>
        </w:tc>
        <w:tc>
          <w:tcPr>
            <w:tcW w:w="11229" w:type="dxa"/>
            <w:tcBorders/>
            <w:shd w:fill="auto" w:val="clear"/>
          </w:tcPr>
          <w:p>
            <w:pPr>
              <w:pStyle w:val="TableContents"/>
              <w:spacing w:before="0" w:after="0"/>
              <w:ind w:left="0" w:right="0" w:hanging="0"/>
              <w:jc w:val="left"/>
              <w:rPr>
                <w:rFonts w:ascii="Times New Roman" w:hAnsi="Times New Roman"/>
                <w:sz w:val="20"/>
              </w:rPr>
            </w:pPr>
            <w:bookmarkStart w:id="31" w:name="TAB223"/>
            <w:bookmarkEnd w:id="31"/>
            <w:r>
              <w:rPr>
                <w:rFonts w:ascii="Times New Roman" w:hAnsi="Times New Roman"/>
                <w:sz w:val="20"/>
              </w:rPr>
              <w:t>Manage projects from development to completion.</w:t>
            </w:r>
          </w:p>
        </w:tc>
      </w:tr>
    </w:tbl>
    <w:p>
      <w:pPr>
        <w:pStyle w:val="Normal"/>
        <w:spacing w:before="0" w:after="0"/>
        <w:ind w:left="0" w:right="0" w:hanging="0"/>
        <w:rPr>
          <w:sz w:val="4"/>
          <w:szCs w:val="4"/>
        </w:rPr>
      </w:pPr>
      <w:bookmarkStart w:id="32" w:name="hangingindent24"/>
      <w:bookmarkStart w:id="33" w:name="hangingindent24"/>
      <w:bookmarkEnd w:id="33"/>
      <w:r>
        <w:rPr>
          <w:sz w:val="4"/>
          <w:szCs w:val="4"/>
        </w:rPr>
      </w:r>
    </w:p>
    <w:tbl>
      <w:tblPr>
        <w:tblW w:w="5000" w:type="pct"/>
        <w:jc w:val="left"/>
        <w:tblInd w:w="0" w:type="dxa"/>
        <w:tblBorders/>
        <w:tblCellMar>
          <w:top w:w="0" w:type="dxa"/>
          <w:left w:w="0" w:type="dxa"/>
          <w:bottom w:w="0" w:type="dxa"/>
          <w:right w:w="0" w:type="dxa"/>
        </w:tblCellMar>
      </w:tblPr>
      <w:tblGrid>
        <w:gridCol w:w="278"/>
        <w:gridCol w:w="11228"/>
      </w:tblGrid>
      <w:tr>
        <w:trPr/>
        <w:tc>
          <w:tcPr>
            <w:tcW w:w="278" w:type="dxa"/>
            <w:tcBorders/>
            <w:shd w:fill="auto" w:val="clear"/>
          </w:tcPr>
          <w:p>
            <w:pPr>
              <w:pStyle w:val="TableContents"/>
              <w:spacing w:before="0" w:after="0"/>
              <w:ind w:left="0" w:right="0" w:hanging="0"/>
              <w:jc w:val="right"/>
              <w:rPr>
                <w:rFonts w:ascii="Times New Roman" w:hAnsi="Times New Roman"/>
                <w:sz w:val="20"/>
              </w:rPr>
            </w:pPr>
            <w:r>
              <w:rPr>
                <w:rFonts w:ascii="Times New Roman" w:hAnsi="Times New Roman"/>
                <w:sz w:val="20"/>
              </w:rPr>
              <w:t>6)</w:t>
            </w:r>
            <w:bookmarkStart w:id="34" w:name="TAB225"/>
            <w:bookmarkEnd w:id="34"/>
            <w:r>
              <w:rPr>
                <w:rFonts w:ascii="Times New Roman" w:hAnsi="Times New Roman"/>
                <w:spacing w:val="180"/>
                <w:sz w:val="20"/>
              </w:rPr>
              <w:t>   </w:t>
            </w:r>
          </w:p>
        </w:tc>
        <w:tc>
          <w:tcPr>
            <w:tcW w:w="11228" w:type="dxa"/>
            <w:tcBorders/>
            <w:shd w:fill="auto" w:val="clear"/>
          </w:tcPr>
          <w:p>
            <w:pPr>
              <w:pStyle w:val="TableContents"/>
              <w:spacing w:before="0" w:after="0"/>
              <w:ind w:left="0" w:right="0" w:hanging="0"/>
              <w:jc w:val="left"/>
              <w:rPr>
                <w:rFonts w:ascii="Times New Roman" w:hAnsi="Times New Roman"/>
                <w:sz w:val="20"/>
              </w:rPr>
            </w:pPr>
            <w:bookmarkStart w:id="35" w:name="TAB226"/>
            <w:bookmarkEnd w:id="35"/>
            <w:r>
              <w:rPr>
                <w:rFonts w:ascii="Times New Roman" w:hAnsi="Times New Roman"/>
                <w:sz w:val="20"/>
              </w:rPr>
              <w:t>Oversea 3rd party work.</w:t>
            </w:r>
          </w:p>
        </w:tc>
      </w:tr>
    </w:tbl>
    <w:p>
      <w:pPr>
        <w:pStyle w:val="TextBody"/>
        <w:spacing w:before="0" w:after="0"/>
        <w:ind w:left="0" w:right="0" w:hanging="0"/>
        <w:rPr/>
      </w:pPr>
      <w:r>
        <w:rPr/>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r>
        <w:rPr>
          <w:rFonts w:ascii="Times New Roman" w:hAnsi="Times New Roman"/>
          <w:sz w:val="20"/>
        </w:rPr>
        <w:t>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before="0" w:after="0"/>
        <w:jc w:val="center"/>
        <w:rPr/>
      </w:pPr>
      <w:r>
        <w:rPr/>
        <w:drawing>
          <wp:inline distT="0" distB="0" distL="0" distR="0">
            <wp:extent cx="718820" cy="3594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18820" cy="359410"/>
                    </a:xfrm>
                    <a:prstGeom prst="rect">
                      <a:avLst/>
                    </a:prstGeom>
                    <a:noFill/>
                    <a:ln w="9525">
                      <a:noFill/>
                      <a:miter lim="800000"/>
                      <a:headEnd/>
                      <a:tailEnd/>
                    </a:ln>
                  </pic:spPr>
                </pic:pic>
              </a:graphicData>
            </a:graphic>
          </wp:inline>
        </w:drawing>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rFonts w:ascii="Times New Roman" w:hAnsi="Times New Roman"/>
          <w:b/>
          <w:sz w:val="24"/>
          <w:u w:val="single"/>
        </w:rPr>
      </w:pPr>
      <w:r>
        <w:rPr>
          <w:rFonts w:ascii="Times New Roman" w:hAnsi="Times New Roman"/>
          <w:b/>
          <w:sz w:val="24"/>
          <w:u w:val="single"/>
        </w:rPr>
        <w:t>Terms and Conditions</w:t>
      </w:r>
    </w:p>
    <w:p>
      <w:pPr>
        <w:pStyle w:val="TextBody"/>
        <w:spacing w:before="0" w:after="0"/>
        <w:ind w:left="0" w:right="0" w:hanging="0"/>
        <w:rPr/>
      </w:pPr>
      <w:r>
        <w:rPr/>
      </w:r>
    </w:p>
    <w:p>
      <w:pPr>
        <w:pStyle w:val="TextBody"/>
        <w:spacing w:before="0" w:after="0"/>
        <w:ind w:left="0" w:right="0" w:firstLine="720"/>
        <w:jc w:val="both"/>
        <w:rPr>
          <w:rFonts w:ascii="Times New Roman" w:hAnsi="Times New Roman"/>
          <w:sz w:val="20"/>
        </w:rPr>
      </w:pPr>
      <w:r>
        <w:rPr>
          <w:rFonts w:ascii="Times New Roman" w:hAnsi="Times New Roman"/>
          <w:sz w:val="20"/>
        </w:rPr>
        <w:t>The above proposal is private and the intellectual content is to remain confidential for the purpose of securing a mutually beneficial undertaking for both parties.</w:t>
      </w:r>
    </w:p>
    <w:p>
      <w:pPr>
        <w:pStyle w:val="TextBody"/>
        <w:spacing w:before="0" w:after="0"/>
        <w:ind w:left="0" w:right="0" w:hanging="0"/>
        <w:jc w:val="both"/>
        <w:rPr/>
      </w:pPr>
      <w:r>
        <w:rPr/>
        <w:t> </w:t>
      </w:r>
    </w:p>
    <w:p>
      <w:pPr>
        <w:pStyle w:val="Normal"/>
        <w:spacing w:before="0" w:after="0"/>
        <w:rPr>
          <w:sz w:val="4"/>
          <w:szCs w:val="4"/>
        </w:rPr>
      </w:pPr>
      <w:bookmarkStart w:id="36" w:name="list"/>
      <w:bookmarkStart w:id="37" w:name="list"/>
      <w:bookmarkEnd w:id="37"/>
      <w:r>
        <w:rPr>
          <w:sz w:val="4"/>
          <w:szCs w:val="4"/>
        </w:rPr>
      </w:r>
    </w:p>
    <w:tbl>
      <w:tblPr>
        <w:tblW w:w="5000" w:type="pct"/>
        <w:jc w:val="left"/>
        <w:tblInd w:w="0" w:type="dxa"/>
        <w:tblBorders/>
        <w:tblCellMar>
          <w:top w:w="0" w:type="dxa"/>
          <w:left w:w="0" w:type="dxa"/>
          <w:bottom w:w="0" w:type="dxa"/>
          <w:right w:w="0" w:type="dxa"/>
        </w:tblCellMar>
      </w:tblPr>
      <w:tblGrid>
        <w:gridCol w:w="191"/>
        <w:gridCol w:w="11315"/>
      </w:tblGrid>
      <w:tr>
        <w:trPr/>
        <w:tc>
          <w:tcPr>
            <w:tcW w:w="191"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1.  </w:t>
            </w:r>
          </w:p>
        </w:tc>
        <w:tc>
          <w:tcPr>
            <w:tcW w:w="1131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b/>
                <w:sz w:val="20"/>
              </w:rPr>
              <w:t xml:space="preserve">Notices. </w:t>
            </w:r>
            <w:r>
              <w:rPr>
                <w:rFonts w:ascii="Times New Roman" w:hAnsi="Times New Roman"/>
                <w:sz w:val="20"/>
              </w:rPr>
              <w:t>All notices, demands or consents required or permitted under this Agreement will be in writing and will be delivered, sent by facsimile or mailed certified return receipt requested to the respective parties at the addresses set forth above or at such other address as such party will specify to the other party in writing. Any notice required or permitted by the provisions of this Agreement will be conclusively deemed to have been received on the day it is delivered to that party by U.S. Mail with acknowledgment of receipt or by any commercial courier providing equivalent acknowledgment of receipt.</w:t>
            </w:r>
          </w:p>
        </w:tc>
      </w:tr>
    </w:tbl>
    <w:p>
      <w:pPr>
        <w:pStyle w:val="TextBody"/>
        <w:spacing w:before="0" w:after="0"/>
        <w:ind w:left="0" w:right="0" w:hanging="0"/>
        <w:jc w:val="both"/>
        <w:rPr/>
      </w:pPr>
      <w:r>
        <w:rPr/>
        <w:t> </w:t>
      </w:r>
    </w:p>
    <w:p>
      <w:pPr>
        <w:pStyle w:val="Normal"/>
        <w:spacing w:before="0" w:after="0"/>
        <w:rPr>
          <w:sz w:val="4"/>
          <w:szCs w:val="4"/>
        </w:rPr>
      </w:pPr>
      <w:bookmarkStart w:id="38" w:name="list28"/>
      <w:bookmarkStart w:id="39" w:name="list28"/>
      <w:bookmarkEnd w:id="39"/>
      <w:r>
        <w:rPr>
          <w:sz w:val="4"/>
          <w:szCs w:val="4"/>
        </w:rPr>
      </w:r>
    </w:p>
    <w:tbl>
      <w:tblPr>
        <w:tblW w:w="5000" w:type="pct"/>
        <w:jc w:val="left"/>
        <w:tblInd w:w="0" w:type="dxa"/>
        <w:tblBorders/>
        <w:tblCellMar>
          <w:top w:w="0" w:type="dxa"/>
          <w:left w:w="0" w:type="dxa"/>
          <w:bottom w:w="0" w:type="dxa"/>
          <w:right w:w="0" w:type="dxa"/>
        </w:tblCellMar>
      </w:tblPr>
      <w:tblGrid>
        <w:gridCol w:w="221"/>
        <w:gridCol w:w="11285"/>
      </w:tblGrid>
      <w:tr>
        <w:trPr/>
        <w:tc>
          <w:tcPr>
            <w:tcW w:w="221"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2.  </w:t>
            </w:r>
          </w:p>
        </w:tc>
        <w:tc>
          <w:tcPr>
            <w:tcW w:w="1128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b/>
                <w:sz w:val="20"/>
              </w:rPr>
              <w:t xml:space="preserve">Governing Law. </w:t>
            </w:r>
            <w:r>
              <w:rPr>
                <w:rFonts w:ascii="Times New Roman" w:hAnsi="Times New Roman"/>
                <w:sz w:val="20"/>
              </w:rPr>
              <w:t>The Uniform Commercial Code as enacted by the State of North Carolina will govern this Agreement, and all rights and obligations of the parties. Any disputes hereunder will be heard in the appropriate federal and state courts located in Wake County, NC.</w:t>
            </w:r>
          </w:p>
        </w:tc>
      </w:tr>
    </w:tbl>
    <w:p>
      <w:pPr>
        <w:pStyle w:val="TextBody"/>
        <w:spacing w:before="0" w:after="0"/>
        <w:ind w:left="0" w:right="0" w:hanging="0"/>
        <w:jc w:val="both"/>
        <w:rPr/>
      </w:pPr>
      <w:r>
        <w:rPr/>
        <w:t> </w:t>
      </w:r>
    </w:p>
    <w:p>
      <w:pPr>
        <w:pStyle w:val="Normal"/>
        <w:spacing w:before="0" w:after="0"/>
        <w:rPr>
          <w:sz w:val="4"/>
          <w:szCs w:val="4"/>
        </w:rPr>
      </w:pPr>
      <w:bookmarkStart w:id="40" w:name="list29"/>
      <w:bookmarkStart w:id="41" w:name="list29"/>
      <w:bookmarkEnd w:id="41"/>
      <w:r>
        <w:rPr>
          <w:sz w:val="4"/>
          <w:szCs w:val="4"/>
        </w:rPr>
      </w:r>
    </w:p>
    <w:tbl>
      <w:tblPr>
        <w:tblW w:w="5000" w:type="pct"/>
        <w:jc w:val="left"/>
        <w:tblInd w:w="0" w:type="dxa"/>
        <w:tblBorders/>
        <w:tblCellMar>
          <w:top w:w="0" w:type="dxa"/>
          <w:left w:w="0" w:type="dxa"/>
          <w:bottom w:w="0" w:type="dxa"/>
          <w:right w:w="0" w:type="dxa"/>
        </w:tblCellMar>
      </w:tblPr>
      <w:tblGrid>
        <w:gridCol w:w="191"/>
        <w:gridCol w:w="11315"/>
      </w:tblGrid>
      <w:tr>
        <w:trPr/>
        <w:tc>
          <w:tcPr>
            <w:tcW w:w="191"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3.  </w:t>
            </w:r>
          </w:p>
        </w:tc>
        <w:tc>
          <w:tcPr>
            <w:tcW w:w="1131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b/>
                <w:sz w:val="20"/>
              </w:rPr>
              <w:t xml:space="preserve">Entire Agreement. </w:t>
            </w:r>
            <w:r>
              <w:rPr>
                <w:rFonts w:ascii="Times New Roman" w:hAnsi="Times New Roman"/>
                <w:sz w:val="20"/>
              </w:rPr>
              <w:t>The parties acknowledge that this Agreement expresses their entire understanding and agreement, and that there have been no warranties, representations, covenants or understandings made by either party to the other except such as are expressly set forth in this section. The parties further acknowledge that this Agreement terminates and otherwise renders null and void any and all prior or contemporaneous agreements or contracts, whether written or oral, entered into between the Buyer and the Seller with respect to the matters expressly set forth in this Agreement.</w:t>
            </w:r>
          </w:p>
        </w:tc>
      </w:tr>
    </w:tbl>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2" w:name="PGBRK"/>
      <w:bookmarkStart w:id="43" w:name="PGBRK"/>
      <w:bookmarkEnd w:id="4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4" w:name="FTR"/>
      <w:bookmarkStart w:id="45" w:name="FTR"/>
      <w:bookmarkEnd w:id="4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6" w:name="GLFTR"/>
      <w:bookmarkEnd w:id="4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47" w:name="PN"/>
      <w:bookmarkEnd w:id="47"/>
      <w:r>
        <w:rPr>
          <w:rFonts w:ascii="Times New Roman" w:hAnsi="Times New Roman"/>
          <w:sz w:val="20"/>
        </w:rPr>
        <w:t>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8" w:name="HDR"/>
      <w:bookmarkStart w:id="49" w:name="HDR"/>
      <w:bookmarkEnd w:id="4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50" w:name="GLHDR"/>
      <w:bookmarkEnd w:id="5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before="0" w:after="0"/>
        <w:jc w:val="center"/>
        <w:rPr/>
      </w:pPr>
      <w:r>
        <w:rPr/>
        <w:drawing>
          <wp:inline distT="0" distB="0" distL="0" distR="0">
            <wp:extent cx="718820" cy="3594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rPr/>
      </w:pPr>
      <w:r>
        <w:rPr/>
        <w:t>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bookmarkStart w:id="51" w:name="list36"/>
      <w:bookmarkEnd w:id="51"/>
      <w:r>
        <w:rPr>
          <w:rFonts w:ascii="Times New Roman" w:hAnsi="Times New Roman"/>
          <w:sz w:val="20"/>
        </w:rPr>
        <w:t>We have carefully reviewed this contract and agree to and accept its terms and conditions. We are executing this Agreement as of the day and year first written above.</w:t>
      </w:r>
    </w:p>
    <w:p>
      <w:pPr>
        <w:pStyle w:val="TextBody"/>
        <w:spacing w:before="0" w:after="0"/>
        <w:ind w:left="0" w:right="0" w:hanging="0"/>
        <w:jc w:val="both"/>
        <w:rPr/>
      </w:pPr>
      <w:r>
        <w:rPr/>
        <w:t> </w:t>
      </w:r>
    </w:p>
    <w:p>
      <w:pPr>
        <w:pStyle w:val="TextBody"/>
        <w:spacing w:before="0" w:after="0"/>
        <w:ind w:left="0" w:right="0" w:hanging="0"/>
        <w:jc w:val="both"/>
        <w:rPr/>
      </w:pPr>
      <w:r>
        <w:rPr/>
        <w:t> </w:t>
      </w:r>
    </w:p>
    <w:tbl>
      <w:tblPr>
        <w:tblW w:w="5000" w:type="pct"/>
        <w:jc w:val="left"/>
        <w:tblInd w:w="0" w:type="dxa"/>
        <w:tblBorders/>
        <w:tblCellMar>
          <w:top w:w="0" w:type="dxa"/>
          <w:left w:w="0" w:type="dxa"/>
          <w:bottom w:w="0" w:type="dxa"/>
          <w:right w:w="0" w:type="dxa"/>
        </w:tblCellMar>
      </w:tblPr>
      <w:tblGrid>
        <w:gridCol w:w="4027"/>
        <w:gridCol w:w="1380"/>
        <w:gridCol w:w="690"/>
        <w:gridCol w:w="4027"/>
        <w:gridCol w:w="1381"/>
      </w:tblGrid>
      <w:tr>
        <w:trPr/>
        <w:tc>
          <w:tcPr>
            <w:tcW w:w="4027" w:type="dxa"/>
            <w:tcBorders/>
            <w:shd w:fill="auto" w:val="clear"/>
          </w:tcPr>
          <w:p>
            <w:pPr>
              <w:pStyle w:val="TableContents"/>
              <w:spacing w:before="0" w:after="283"/>
              <w:jc w:val="left"/>
              <w:rPr>
                <w:rFonts w:ascii="times new roman" w:hAnsi="times new roman"/>
                <w:b/>
                <w:sz w:val="20"/>
              </w:rPr>
            </w:pPr>
            <w:r>
              <w:rPr>
                <w:rFonts w:ascii="times new roman" w:hAnsi="times new roman"/>
                <w:b/>
                <w:sz w:val="20"/>
              </w:rPr>
              <w:t>Moving Box Entertainment, LLC</w:t>
            </w:r>
          </w:p>
        </w:tc>
        <w:tc>
          <w:tcPr>
            <w:tcW w:w="1380" w:type="dxa"/>
            <w:tcBorders/>
            <w:shd w:fill="auto" w:val="clear"/>
          </w:tcPr>
          <w:p>
            <w:pPr>
              <w:pStyle w:val="TableContents"/>
              <w:spacing w:before="0" w:after="283"/>
              <w:rPr/>
            </w:pPr>
            <w:r>
              <w:rPr/>
              <w:t> </w:t>
            </w:r>
          </w:p>
        </w:tc>
        <w:tc>
          <w:tcPr>
            <w:tcW w:w="690" w:type="dxa"/>
            <w:tcBorders/>
            <w:shd w:fill="auto" w:val="clear"/>
          </w:tcPr>
          <w:p>
            <w:pPr>
              <w:pStyle w:val="TableContents"/>
              <w:spacing w:before="0" w:after="283"/>
              <w:rPr/>
            </w:pPr>
            <w:r>
              <w:rPr/>
              <w:t> </w:t>
            </w:r>
          </w:p>
        </w:tc>
        <w:tc>
          <w:tcPr>
            <w:tcW w:w="4027" w:type="dxa"/>
            <w:tcBorders/>
            <w:shd w:fill="auto" w:val="clear"/>
          </w:tcPr>
          <w:p>
            <w:pPr>
              <w:pStyle w:val="TableContents"/>
              <w:spacing w:before="0" w:after="283"/>
              <w:jc w:val="left"/>
              <w:rPr>
                <w:rFonts w:ascii="times new roman" w:hAnsi="times new roman"/>
                <w:b/>
                <w:sz w:val="20"/>
              </w:rPr>
            </w:pPr>
            <w:r>
              <w:rPr>
                <w:rFonts w:ascii="times new roman" w:hAnsi="times new roman"/>
                <w:b/>
                <w:sz w:val="20"/>
              </w:rPr>
              <w:t>7 Worldwide Inc.</w:t>
            </w:r>
          </w:p>
        </w:tc>
        <w:tc>
          <w:tcPr>
            <w:tcW w:w="1381" w:type="dxa"/>
            <w:tcBorders/>
            <w:shd w:fill="auto" w:val="clear"/>
          </w:tcPr>
          <w:p>
            <w:pPr>
              <w:pStyle w:val="TableContents"/>
              <w:spacing w:before="0" w:after="283"/>
              <w:rPr/>
            </w:pPr>
            <w:r>
              <w:rPr/>
              <w:t> </w:t>
            </w:r>
          </w:p>
        </w:tc>
      </w:tr>
      <w:tr>
        <w:trPr/>
        <w:tc>
          <w:tcPr>
            <w:tcW w:w="4027" w:type="dxa"/>
            <w:tcBorders>
              <w:bottom w:val="single" w:sz="12" w:space="0" w:color="000000"/>
              <w:insideH w:val="single" w:sz="12" w:space="0" w:color="000000"/>
            </w:tcBorders>
            <w:shd w:fill="auto" w:val="clear"/>
            <w:tcMar>
              <w:bottom w:w="28" w:type="dxa"/>
            </w:tcMar>
          </w:tcPr>
          <w:p>
            <w:pPr>
              <w:pStyle w:val="TableContents"/>
              <w:spacing w:before="0" w:after="0"/>
              <w:ind w:left="0" w:right="0" w:hanging="0"/>
              <w:jc w:val="left"/>
              <w:rPr/>
            </w:pPr>
            <w:r>
              <w:rPr/>
              <w:drawing>
                <wp:inline distT="0" distB="0" distL="0" distR="0">
                  <wp:extent cx="2257425" cy="8858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2257425" cy="885825"/>
                          </a:xfrm>
                          <a:prstGeom prst="rect">
                            <a:avLst/>
                          </a:prstGeom>
                          <a:noFill/>
                          <a:ln w="9525">
                            <a:noFill/>
                            <a:miter lim="800000"/>
                            <a:headEnd/>
                            <a:tailEnd/>
                          </a:ln>
                        </pic:spPr>
                      </pic:pic>
                    </a:graphicData>
                  </a:graphic>
                </wp:inline>
              </w:drawing>
            </w:r>
          </w:p>
        </w:tc>
        <w:tc>
          <w:tcPr>
            <w:tcW w:w="1380" w:type="dxa"/>
            <w:tcBorders/>
            <w:shd w:fill="auto" w:val="clear"/>
          </w:tcPr>
          <w:p>
            <w:pPr>
              <w:pStyle w:val="TableContents"/>
              <w:spacing w:before="0" w:after="283"/>
              <w:rPr/>
            </w:pPr>
            <w:r>
              <w:rPr/>
              <w:t> </w:t>
            </w:r>
          </w:p>
        </w:tc>
        <w:tc>
          <w:tcPr>
            <w:tcW w:w="690" w:type="dxa"/>
            <w:tcBorders/>
            <w:shd w:fill="auto" w:val="clear"/>
          </w:tcPr>
          <w:p>
            <w:pPr>
              <w:pStyle w:val="TableContents"/>
              <w:spacing w:before="0" w:after="283"/>
              <w:rPr/>
            </w:pPr>
            <w:r>
              <w:rPr/>
              <w:t> </w:t>
            </w:r>
          </w:p>
        </w:tc>
        <w:tc>
          <w:tcPr>
            <w:tcW w:w="4027" w:type="dxa"/>
            <w:tcBorders>
              <w:bottom w:val="single" w:sz="12" w:space="0" w:color="000000"/>
              <w:insideH w:val="single" w:sz="12" w:space="0" w:color="000000"/>
            </w:tcBorders>
            <w:shd w:fill="auto" w:val="clear"/>
            <w:tcMar>
              <w:bottom w:w="28" w:type="dxa"/>
            </w:tcMar>
          </w:tcPr>
          <w:p>
            <w:pPr>
              <w:pStyle w:val="TableContents"/>
              <w:spacing w:before="0" w:after="0"/>
              <w:ind w:left="0" w:right="0" w:hanging="0"/>
              <w:jc w:val="left"/>
              <w:rPr/>
            </w:pPr>
            <w:r>
              <w:rPr/>
              <w:drawing>
                <wp:inline distT="0" distB="0" distL="0" distR="0">
                  <wp:extent cx="2381250" cy="8382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link="rId6"/>
                          <a:stretch>
                            <a:fillRect/>
                          </a:stretch>
                        </pic:blipFill>
                        <pic:spPr bwMode="auto">
                          <a:xfrm>
                            <a:off x="0" y="0"/>
                            <a:ext cx="2381250" cy="838200"/>
                          </a:xfrm>
                          <a:prstGeom prst="rect">
                            <a:avLst/>
                          </a:prstGeom>
                          <a:noFill/>
                          <a:ln w="9525">
                            <a:noFill/>
                            <a:miter lim="800000"/>
                            <a:headEnd/>
                            <a:tailEnd/>
                          </a:ln>
                        </pic:spPr>
                      </pic:pic>
                    </a:graphicData>
                  </a:graphic>
                </wp:inline>
              </w:drawing>
            </w:r>
          </w:p>
        </w:tc>
        <w:tc>
          <w:tcPr>
            <w:tcW w:w="1381" w:type="dxa"/>
            <w:tcBorders/>
            <w:shd w:fill="auto" w:val="clear"/>
          </w:tcPr>
          <w:p>
            <w:pPr>
              <w:pStyle w:val="TableContents"/>
              <w:spacing w:before="0" w:after="283"/>
              <w:rPr/>
            </w:pPr>
            <w:r>
              <w:rPr/>
              <w:t> </w:t>
            </w:r>
          </w:p>
        </w:tc>
      </w:tr>
      <w:tr>
        <w:trPr/>
        <w:tc>
          <w:tcPr>
            <w:tcW w:w="4027"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 xml:space="preserve">Andreas Wilcken Jr. </w:t>
            </w:r>
          </w:p>
          <w:p>
            <w:pPr>
              <w:pStyle w:val="TableContents"/>
              <w:spacing w:before="0" w:after="0"/>
              <w:ind w:left="0" w:right="0" w:hanging="0"/>
              <w:jc w:val="left"/>
              <w:rPr/>
            </w:pPr>
            <w:r>
              <w:rPr/>
              <w:t> </w:t>
            </w:r>
            <w:r>
              <w:rPr>
                <w:rFonts w:ascii="times new roman" w:hAnsi="times new roman"/>
                <w:sz w:val="20"/>
              </w:rPr>
              <w:t>Moving Box Entertainment, LLC</w:t>
            </w:r>
          </w:p>
        </w:tc>
        <w:tc>
          <w:tcPr>
            <w:tcW w:w="1380" w:type="dxa"/>
            <w:tcBorders/>
            <w:shd w:fill="auto" w:val="clear"/>
          </w:tcPr>
          <w:p>
            <w:pPr>
              <w:pStyle w:val="TableContents"/>
              <w:spacing w:before="0" w:after="283"/>
              <w:rPr/>
            </w:pPr>
            <w:r>
              <w:rPr/>
              <w:t> </w:t>
            </w:r>
          </w:p>
        </w:tc>
        <w:tc>
          <w:tcPr>
            <w:tcW w:w="690" w:type="dxa"/>
            <w:tcBorders/>
            <w:shd w:fill="auto" w:val="clear"/>
          </w:tcPr>
          <w:p>
            <w:pPr>
              <w:pStyle w:val="TableContents"/>
              <w:spacing w:before="0" w:after="283"/>
              <w:rPr/>
            </w:pPr>
            <w:r>
              <w:rPr/>
              <w:t> </w:t>
            </w:r>
          </w:p>
        </w:tc>
        <w:tc>
          <w:tcPr>
            <w:tcW w:w="4027"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 xml:space="preserve">Michael Davis </w:t>
            </w:r>
          </w:p>
          <w:p>
            <w:pPr>
              <w:pStyle w:val="TableContents"/>
              <w:spacing w:before="0" w:after="0"/>
              <w:ind w:left="0" w:right="0" w:hanging="0"/>
              <w:jc w:val="left"/>
              <w:rPr>
                <w:rFonts w:ascii="times new roman" w:hAnsi="times new roman"/>
                <w:sz w:val="20"/>
              </w:rPr>
            </w:pPr>
            <w:r>
              <w:rPr>
                <w:rFonts w:ascii="times new roman" w:hAnsi="times new roman"/>
                <w:sz w:val="20"/>
              </w:rPr>
              <w:t>7 Worldwide Inc.</w:t>
            </w:r>
          </w:p>
        </w:tc>
        <w:tc>
          <w:tcPr>
            <w:tcW w:w="1381" w:type="dxa"/>
            <w:tcBorders/>
            <w:shd w:fill="auto" w:val="clear"/>
          </w:tcPr>
          <w:p>
            <w:pPr>
              <w:pStyle w:val="TableContents"/>
              <w:spacing w:before="0" w:after="283"/>
              <w:rPr/>
            </w:pPr>
            <w:r>
              <w:rPr/>
              <w:t> </w:t>
            </w:r>
          </w:p>
        </w:tc>
      </w:tr>
      <w:tr>
        <w:trPr/>
        <w:tc>
          <w:tcPr>
            <w:tcW w:w="4027" w:type="dxa"/>
            <w:tcBorders/>
            <w:shd w:fill="auto" w:val="clear"/>
          </w:tcPr>
          <w:p>
            <w:pPr>
              <w:pStyle w:val="TableContents"/>
              <w:spacing w:before="0" w:after="0"/>
              <w:ind w:left="0" w:right="0" w:hanging="0"/>
              <w:jc w:val="both"/>
              <w:rPr/>
            </w:pPr>
            <w:r>
              <w:rPr/>
              <w:t> </w:t>
            </w:r>
          </w:p>
        </w:tc>
        <w:tc>
          <w:tcPr>
            <w:tcW w:w="1380" w:type="dxa"/>
            <w:tcBorders/>
            <w:shd w:fill="auto" w:val="clear"/>
          </w:tcPr>
          <w:p>
            <w:pPr>
              <w:pStyle w:val="TableContents"/>
              <w:spacing w:before="0" w:after="283"/>
              <w:rPr/>
            </w:pPr>
            <w:r>
              <w:rPr/>
              <w:t> </w:t>
            </w:r>
          </w:p>
        </w:tc>
        <w:tc>
          <w:tcPr>
            <w:tcW w:w="690" w:type="dxa"/>
            <w:tcBorders/>
            <w:shd w:fill="auto" w:val="clear"/>
          </w:tcPr>
          <w:p>
            <w:pPr>
              <w:pStyle w:val="TableContents"/>
              <w:spacing w:before="0" w:after="283"/>
              <w:rPr/>
            </w:pPr>
            <w:r>
              <w:rPr/>
              <w:t> </w:t>
            </w:r>
          </w:p>
        </w:tc>
        <w:tc>
          <w:tcPr>
            <w:tcW w:w="4027" w:type="dxa"/>
            <w:tcBorders/>
            <w:shd w:fill="auto" w:val="clear"/>
          </w:tcPr>
          <w:p>
            <w:pPr>
              <w:pStyle w:val="TableContents"/>
              <w:spacing w:before="0" w:after="0"/>
              <w:ind w:left="0" w:right="0" w:hanging="0"/>
              <w:jc w:val="both"/>
              <w:rPr/>
            </w:pPr>
            <w:r>
              <w:rPr/>
              <w:t> </w:t>
            </w:r>
          </w:p>
        </w:tc>
        <w:tc>
          <w:tcPr>
            <w:tcW w:w="1381" w:type="dxa"/>
            <w:tcBorders/>
            <w:shd w:fill="auto" w:val="clear"/>
          </w:tcPr>
          <w:p>
            <w:pPr>
              <w:pStyle w:val="TableContents"/>
              <w:spacing w:before="0" w:after="283"/>
              <w:rPr/>
            </w:pPr>
            <w:r>
              <w:rPr/>
              <w:t> </w:t>
            </w:r>
          </w:p>
        </w:tc>
      </w:tr>
    </w:tbl>
    <w:p>
      <w:pPr>
        <w:pStyle w:val="TextBody"/>
        <w:spacing w:before="0" w:after="0"/>
        <w:ind w:left="0" w:right="0" w:hanging="0"/>
        <w:jc w:val="left"/>
        <w:rPr/>
      </w:pPr>
      <w:r>
        <w:rPr/>
        <w:t> </w:t>
      </w:r>
    </w:p>
    <w:p>
      <w:pPr>
        <w:pStyle w:val="TextBody"/>
        <w:spacing w:before="0" w:after="0"/>
        <w:ind w:left="0" w:right="0" w:hanging="0"/>
        <w:jc w:val="left"/>
        <w:rPr/>
      </w:pPr>
      <w:r>
        <w:rPr/>
        <w:b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52" w:name="PGBRK37"/>
      <w:bookmarkStart w:id="53" w:name="PGBRK37"/>
      <w:bookmarkEnd w:id="5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4" w:name="FTR38"/>
      <w:bookmarkStart w:id="55" w:name="FTR38"/>
      <w:bookmarkEnd w:id="5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56" w:name="GLFTR39"/>
      <w:bookmarkEnd w:id="5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57" w:name="PN40"/>
      <w:bookmarkEnd w:id="57"/>
      <w:r>
        <w:rPr>
          <w:rFonts w:ascii="Times New Roman" w:hAnsi="Times New Roman"/>
          <w:sz w:val="20"/>
        </w:rPr>
        <w:t>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8" w:name="HDR41"/>
      <w:bookmarkStart w:id="59" w:name="HDR41"/>
      <w:bookmarkEnd w:id="5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60" w:name="GLHDR42"/>
      <w:bookmarkEnd w:id="60"/>
      <w:r>
        <w:rPr/>
        <w:t xml:space="preserve">  </w:t>
      </w:r>
    </w:p>
    <w:p>
      <w:pPr>
        <w:sectPr>
          <w:type w:val="continuous"/>
          <w:pgSz w:w="11906" w:h="16838"/>
          <w:pgMar w:left="1134" w:right="567" w:header="0" w:top="567" w:footer="0" w:bottom="567" w:gutter="0"/>
          <w:formProt w:val="false"/>
          <w:textDirection w:val="lrTb"/>
        </w:sectPr>
      </w:pP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sec.gov/Archives/edgar/data/1487197/000147793211001616/img001.jpg" TargetMode="External"/><Relationship Id="rId3" Type="http://schemas.openxmlformats.org/officeDocument/2006/relationships/image" Target="https://www.sec.gov/Archives/edgar/data/1487197/000147793211001616/img001.jpg" TargetMode="External"/><Relationship Id="rId4" Type="http://schemas.openxmlformats.org/officeDocument/2006/relationships/image" Target="https://www.sec.gov/Archives/edgar/data/1487197/000147793211001616/img001.jpg" TargetMode="External"/><Relationship Id="rId5" Type="http://schemas.openxmlformats.org/officeDocument/2006/relationships/image" Target="https://www.sec.gov/Archives/edgar/data/1487197/000147793211001616/img002.jpg" TargetMode="External"/><Relationship Id="rId6" Type="http://schemas.openxmlformats.org/officeDocument/2006/relationships/image" Target="https://www.sec.gov/Archives/edgar/data/1487197/000147793211001616/img003.jpg"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