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AF06" w14:textId="753E5643" w:rsidR="007620A3" w:rsidRDefault="00A07E92">
      <w:pPr>
        <w:rPr>
          <w:b/>
        </w:rPr>
      </w:pPr>
      <w:r w:rsidRPr="00AF1EEA">
        <w:rPr>
          <w:b/>
        </w:rPr>
        <w:t xml:space="preserve">Кредитная карта России за </w:t>
      </w:r>
      <w:r w:rsidR="00EC1E81">
        <w:rPr>
          <w:b/>
        </w:rPr>
        <w:t>четвертый</w:t>
      </w:r>
      <w:r w:rsidR="00181928" w:rsidRPr="00AF1EEA">
        <w:rPr>
          <w:b/>
        </w:rPr>
        <w:t xml:space="preserve"> квартал</w:t>
      </w:r>
      <w:r w:rsidRPr="00AF1EEA">
        <w:rPr>
          <w:b/>
        </w:rPr>
        <w:t xml:space="preserve"> 2019 года: уровень закредитованности домохозяйств </w:t>
      </w:r>
      <w:r w:rsidR="00181928" w:rsidRPr="00AF1EEA">
        <w:rPr>
          <w:b/>
        </w:rPr>
        <w:t>увеличился до 3</w:t>
      </w:r>
      <w:r w:rsidR="000506D5">
        <w:rPr>
          <w:b/>
        </w:rPr>
        <w:t>1</w:t>
      </w:r>
      <w:r w:rsidR="00181928" w:rsidRPr="00AF1EEA">
        <w:rPr>
          <w:b/>
        </w:rPr>
        <w:t>%</w:t>
      </w:r>
    </w:p>
    <w:p w14:paraId="73803A9A" w14:textId="77777777" w:rsidR="006A13EF" w:rsidRPr="00AF1EEA" w:rsidRDefault="006A13EF">
      <w:pPr>
        <w:rPr>
          <w:b/>
        </w:rPr>
      </w:pPr>
    </w:p>
    <w:p w14:paraId="11303221" w14:textId="1955264D" w:rsidR="00A07E92" w:rsidRDefault="006C2666" w:rsidP="006C2666">
      <w:pPr>
        <w:jc w:val="both"/>
        <w:rPr>
          <w:i/>
        </w:rPr>
      </w:pPr>
      <w:r w:rsidRPr="00AF1EEA">
        <w:rPr>
          <w:i/>
        </w:rPr>
        <w:t xml:space="preserve">Уровень закредитованности, рассчитываемый как отношение среднего объема задолженности к среднему годовому доходу </w:t>
      </w:r>
      <w:r w:rsidR="004213A7" w:rsidRPr="00AF1EEA">
        <w:rPr>
          <w:i/>
        </w:rPr>
        <w:t xml:space="preserve">на </w:t>
      </w:r>
      <w:r w:rsidRPr="00AF1EEA">
        <w:rPr>
          <w:i/>
        </w:rPr>
        <w:t>домохозяйств</w:t>
      </w:r>
      <w:r w:rsidR="004213A7" w:rsidRPr="00AF1EEA">
        <w:rPr>
          <w:i/>
        </w:rPr>
        <w:t>о</w:t>
      </w:r>
      <w:r w:rsidRPr="00AF1EEA">
        <w:rPr>
          <w:i/>
        </w:rPr>
        <w:t xml:space="preserve">, </w:t>
      </w:r>
      <w:r w:rsidR="002C47A7" w:rsidRPr="00AF1EEA">
        <w:rPr>
          <w:i/>
        </w:rPr>
        <w:t>изменился</w:t>
      </w:r>
      <w:r w:rsidR="000506D5">
        <w:rPr>
          <w:i/>
        </w:rPr>
        <w:t xml:space="preserve"> на 1%</w:t>
      </w:r>
      <w:r w:rsidR="002C47A7" w:rsidRPr="00AF1EEA">
        <w:rPr>
          <w:i/>
        </w:rPr>
        <w:t xml:space="preserve"> относительно </w:t>
      </w:r>
      <w:r w:rsidR="000506D5">
        <w:rPr>
          <w:i/>
        </w:rPr>
        <w:t>третьего</w:t>
      </w:r>
      <w:r w:rsidR="00F11722" w:rsidRPr="00AF1EEA">
        <w:rPr>
          <w:i/>
        </w:rPr>
        <w:t xml:space="preserve"> квартала</w:t>
      </w:r>
      <w:r w:rsidR="000506D5">
        <w:rPr>
          <w:i/>
        </w:rPr>
        <w:t xml:space="preserve"> 2019 года,</w:t>
      </w:r>
      <w:r w:rsidR="00C32BD6" w:rsidRPr="00AF1EEA">
        <w:rPr>
          <w:i/>
        </w:rPr>
        <w:t xml:space="preserve"> увеличившись с </w:t>
      </w:r>
      <w:r w:rsidR="000506D5">
        <w:rPr>
          <w:i/>
        </w:rPr>
        <w:t>30</w:t>
      </w:r>
      <w:r w:rsidR="00C32BD6" w:rsidRPr="00AF1EEA">
        <w:rPr>
          <w:i/>
        </w:rPr>
        <w:t>% до 3</w:t>
      </w:r>
      <w:r w:rsidR="000506D5">
        <w:rPr>
          <w:i/>
        </w:rPr>
        <w:t>1</w:t>
      </w:r>
      <w:r w:rsidR="00C32BD6" w:rsidRPr="00AF1EEA">
        <w:rPr>
          <w:i/>
        </w:rPr>
        <w:t xml:space="preserve">% в </w:t>
      </w:r>
      <w:r w:rsidR="000506D5">
        <w:rPr>
          <w:i/>
        </w:rPr>
        <w:t>четвертом</w:t>
      </w:r>
      <w:r w:rsidR="00C32BD6" w:rsidRPr="00AF1EEA">
        <w:rPr>
          <w:i/>
        </w:rPr>
        <w:t xml:space="preserve"> квартале</w:t>
      </w:r>
      <w:r w:rsidRPr="00AF1EEA">
        <w:rPr>
          <w:i/>
        </w:rPr>
        <w:t>. Год</w:t>
      </w:r>
      <w:r w:rsidR="002C47A7" w:rsidRPr="00AF1EEA">
        <w:rPr>
          <w:i/>
        </w:rPr>
        <w:t xml:space="preserve">ом ранее этот показатель составлял </w:t>
      </w:r>
      <w:r w:rsidR="00320FFA">
        <w:rPr>
          <w:i/>
        </w:rPr>
        <w:t>30</w:t>
      </w:r>
      <w:r w:rsidRPr="00AF1EEA">
        <w:rPr>
          <w:i/>
        </w:rPr>
        <w:t>%</w:t>
      </w:r>
      <w:r w:rsidR="0071451C" w:rsidRPr="00AF1EEA">
        <w:rPr>
          <w:i/>
        </w:rPr>
        <w:t xml:space="preserve">. </w:t>
      </w:r>
      <w:r w:rsidR="000506D5">
        <w:rPr>
          <w:i/>
        </w:rPr>
        <w:t>Д</w:t>
      </w:r>
      <w:r w:rsidR="00DB2606">
        <w:rPr>
          <w:i/>
        </w:rPr>
        <w:t>ол</w:t>
      </w:r>
      <w:r w:rsidR="000506D5">
        <w:rPr>
          <w:i/>
        </w:rPr>
        <w:t>я</w:t>
      </w:r>
      <w:r w:rsidR="008100AB" w:rsidRPr="00AF1EEA">
        <w:rPr>
          <w:i/>
        </w:rPr>
        <w:t xml:space="preserve"> просроченной задолженности</w:t>
      </w:r>
      <w:r w:rsidR="000506D5">
        <w:rPr>
          <w:i/>
        </w:rPr>
        <w:t xml:space="preserve"> продолжает снижаться.</w:t>
      </w:r>
    </w:p>
    <w:p w14:paraId="72AB114A" w14:textId="77777777" w:rsidR="006A13EF" w:rsidRPr="00AF1EEA" w:rsidRDefault="006A13EF" w:rsidP="006C2666">
      <w:pPr>
        <w:jc w:val="both"/>
        <w:rPr>
          <w:i/>
        </w:rPr>
      </w:pPr>
    </w:p>
    <w:p w14:paraId="00FFD144" w14:textId="27C3425D" w:rsidR="000879F5" w:rsidRDefault="00D37967" w:rsidP="000879F5">
      <w:pPr>
        <w:jc w:val="both"/>
      </w:pPr>
      <w:r w:rsidRPr="00AF1EEA">
        <w:t xml:space="preserve">По итогам </w:t>
      </w:r>
      <w:r w:rsidR="00320FFA">
        <w:t>четвертого</w:t>
      </w:r>
      <w:r w:rsidR="00C32BD6" w:rsidRPr="00AF1EEA">
        <w:t xml:space="preserve"> квартала </w:t>
      </w:r>
      <w:r w:rsidR="000879F5" w:rsidRPr="00AF1EEA">
        <w:t>2019 года</w:t>
      </w:r>
      <w:r w:rsidRPr="00AF1EEA">
        <w:t xml:space="preserve"> </w:t>
      </w:r>
      <w:r w:rsidR="000879F5" w:rsidRPr="00AF1EEA">
        <w:t xml:space="preserve">совокупная задолженность россиян по банковским кредитам составила </w:t>
      </w:r>
      <w:r w:rsidR="006C5E54" w:rsidRPr="00AF1EEA">
        <w:t>1</w:t>
      </w:r>
      <w:r w:rsidR="00B1426A" w:rsidRPr="00AF1EEA">
        <w:t>7</w:t>
      </w:r>
      <w:r w:rsidR="006C5E54" w:rsidRPr="00AF1EEA">
        <w:t>,</w:t>
      </w:r>
      <w:r w:rsidR="00320FFA">
        <w:t>56</w:t>
      </w:r>
      <w:r w:rsidR="000879F5" w:rsidRPr="00AF1EEA">
        <w:t xml:space="preserve"> трлн руб., увеличившись на </w:t>
      </w:r>
      <w:r w:rsidR="00962C22" w:rsidRPr="00AF1EEA">
        <w:t>1</w:t>
      </w:r>
      <w:r w:rsidR="00320FFA">
        <w:t>5</w:t>
      </w:r>
      <w:r w:rsidR="000879F5" w:rsidRPr="00AF1EEA">
        <w:t xml:space="preserve">% с начала года. </w:t>
      </w:r>
    </w:p>
    <w:p w14:paraId="08D5B4A4" w14:textId="77777777" w:rsidR="006A13EF" w:rsidRPr="00AF1EEA" w:rsidRDefault="006A13EF" w:rsidP="000879F5">
      <w:pPr>
        <w:jc w:val="both"/>
      </w:pPr>
    </w:p>
    <w:p w14:paraId="70B6A235" w14:textId="50B9E9BD" w:rsidR="00E30A84" w:rsidRDefault="004B2107" w:rsidP="00E30A84">
      <w:pPr>
        <w:jc w:val="both"/>
      </w:pPr>
      <w:r>
        <w:t>Д</w:t>
      </w:r>
      <w:r w:rsidRPr="001C5313">
        <w:t>оля и объем просроченных долгов в целом по стране за 2019 год снизились</w:t>
      </w:r>
      <w:r>
        <w:t>.</w:t>
      </w:r>
      <w:r w:rsidRPr="00AF1EEA">
        <w:t xml:space="preserve"> </w:t>
      </w:r>
      <w:r>
        <w:t>П</w:t>
      </w:r>
      <w:r w:rsidRPr="001C5313">
        <w:t xml:space="preserve">о итогам года портфель "плохой" задолженности россиян перед банками немного уменьшился - до </w:t>
      </w:r>
      <w:r w:rsidRPr="00B96C0D">
        <w:rPr>
          <w:rFonts w:eastAsiaTheme="minorHAnsi"/>
          <w:lang w:eastAsia="en-US"/>
        </w:rPr>
        <w:t xml:space="preserve">729,97 </w:t>
      </w:r>
      <w:r w:rsidRPr="001C5313">
        <w:t>миллиардов рублей против 757,5 миллиарда рублей годом ранее. Данный фактор в совокупности с ростом портфеля розничных кредитов привел к тому, что доля "просрочки" по ссудам за 2019 год сократилась</w:t>
      </w:r>
      <w:r w:rsidR="002A6B29">
        <w:t xml:space="preserve"> </w:t>
      </w:r>
      <w:r w:rsidR="002A6B29" w:rsidRPr="001C5313">
        <w:t>с 5%</w:t>
      </w:r>
      <w:r w:rsidR="002A6B29">
        <w:t xml:space="preserve"> прошлого года </w:t>
      </w:r>
      <w:r w:rsidRPr="001C5313">
        <w:t>до 4,2%</w:t>
      </w:r>
      <w:r w:rsidR="002A6B29">
        <w:t xml:space="preserve">. </w:t>
      </w:r>
      <w:r w:rsidR="000879F5" w:rsidRPr="00AF1EEA">
        <w:t xml:space="preserve">Показатель </w:t>
      </w:r>
      <w:r w:rsidR="00F46077" w:rsidRPr="00AF1EEA">
        <w:t>продолжает снижаться</w:t>
      </w:r>
      <w:r w:rsidR="00CC2411" w:rsidRPr="00AF1EEA">
        <w:t>, что указывает на стабильн</w:t>
      </w:r>
      <w:r w:rsidR="00610EC3" w:rsidRPr="00AF1EEA">
        <w:t xml:space="preserve">ое состояние </w:t>
      </w:r>
      <w:r w:rsidR="00CC2411" w:rsidRPr="00AF1EEA">
        <w:t>«плохи</w:t>
      </w:r>
      <w:r w:rsidR="00610EC3" w:rsidRPr="00AF1EEA">
        <w:t xml:space="preserve">х </w:t>
      </w:r>
      <w:r w:rsidR="00CC2411" w:rsidRPr="00AF1EEA">
        <w:t>долг</w:t>
      </w:r>
      <w:r w:rsidR="00610EC3" w:rsidRPr="00AF1EEA">
        <w:t>ов</w:t>
      </w:r>
      <w:r w:rsidR="00CC2411" w:rsidRPr="00AF1EEA">
        <w:t>» на балансах банков</w:t>
      </w:r>
      <w:r w:rsidR="000879F5" w:rsidRPr="00AF1EEA">
        <w:t>.</w:t>
      </w:r>
    </w:p>
    <w:p w14:paraId="04758B5F" w14:textId="77777777" w:rsidR="006A13EF" w:rsidRPr="004B2107" w:rsidRDefault="006A13EF" w:rsidP="00E30A84">
      <w:pPr>
        <w:jc w:val="both"/>
        <w:rPr>
          <w:rFonts w:eastAsiaTheme="minorHAnsi"/>
          <w:lang w:eastAsia="en-US"/>
        </w:rPr>
      </w:pPr>
    </w:p>
    <w:p w14:paraId="1AA04770" w14:textId="27924119" w:rsidR="001C5313" w:rsidRPr="001C5313" w:rsidRDefault="001C5313" w:rsidP="001C5313">
      <w:pPr>
        <w:spacing w:after="160" w:line="259" w:lineRule="auto"/>
        <w:jc w:val="both"/>
      </w:pPr>
      <w:r w:rsidRPr="001C5313">
        <w:t xml:space="preserve">На текущий момент на одного экономически активного жителя приходится в среднем 18-20 тысяч рублей просроченного долга, что соизмеримо с одной среднемесячной зарплатой (66% от средней зарплаты). За 10 лет данный показатель вырос в шесть раз </w:t>
      </w:r>
      <w:r w:rsidR="004B2107">
        <w:t>–</w:t>
      </w:r>
      <w:r w:rsidRPr="001C5313">
        <w:t xml:space="preserve"> </w:t>
      </w:r>
      <w:r w:rsidR="004B2107">
        <w:t>в начале</w:t>
      </w:r>
      <w:r w:rsidRPr="001C5313">
        <w:t xml:space="preserve"> 2010 года каждый экономически активный житель</w:t>
      </w:r>
      <w:r w:rsidR="004B2107">
        <w:t xml:space="preserve"> страны</w:t>
      </w:r>
      <w:r w:rsidRPr="001C5313">
        <w:t xml:space="preserve"> имел не более 3 тысяч рублей просроченного долга, или 15% от средней зарплаты.</w:t>
      </w:r>
    </w:p>
    <w:p w14:paraId="1130FB81" w14:textId="1AC23EF3" w:rsidR="00C9784B" w:rsidRDefault="00EC1E81" w:rsidP="00E30A84">
      <w:pPr>
        <w:jc w:val="both"/>
      </w:pPr>
      <w:r>
        <w:rPr>
          <w:noProof/>
        </w:rPr>
        <w:drawing>
          <wp:inline distT="0" distB="0" distL="0" distR="0" wp14:anchorId="752A1BBB" wp14:editId="7E63EA9D">
            <wp:extent cx="5940425" cy="2830749"/>
            <wp:effectExtent l="0" t="0" r="15875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D843D62-CC63-4E32-A753-B055FDADBA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F5B570" w14:textId="77777777" w:rsidR="006A13EF" w:rsidRPr="00AF1EEA" w:rsidRDefault="006A13EF" w:rsidP="00E30A84">
      <w:pPr>
        <w:jc w:val="both"/>
      </w:pPr>
    </w:p>
    <w:p w14:paraId="50D74CBC" w14:textId="0862D219" w:rsidR="00F13BDF" w:rsidRDefault="00F13BDF" w:rsidP="000879F5">
      <w:pPr>
        <w:jc w:val="both"/>
      </w:pPr>
      <w:r w:rsidRPr="00AF1EEA">
        <w:t>* Данные Банка России, расчеты проекта ОНФ «За права заемщиков»</w:t>
      </w:r>
    </w:p>
    <w:p w14:paraId="5222C3E6" w14:textId="77777777" w:rsidR="006A13EF" w:rsidRPr="00AF1EEA" w:rsidRDefault="006A13EF" w:rsidP="000879F5">
      <w:pPr>
        <w:jc w:val="both"/>
      </w:pPr>
    </w:p>
    <w:p w14:paraId="2A47C92E" w14:textId="4185B669" w:rsidR="00BD697A" w:rsidRPr="00BF7DB4" w:rsidRDefault="00CF528D" w:rsidP="00BD697A">
      <w:pPr>
        <w:rPr>
          <w:rFonts w:eastAsiaTheme="minorHAnsi"/>
          <w:lang w:eastAsia="en-US"/>
        </w:rPr>
      </w:pPr>
      <w:r w:rsidRPr="00AF1EEA">
        <w:t xml:space="preserve">Уровень закредитованности, рассчитываемый как отношение среднего объема задолженности к среднему годовому доходу </w:t>
      </w:r>
      <w:r w:rsidR="00FE3F1C" w:rsidRPr="00AF1EEA">
        <w:t xml:space="preserve">на </w:t>
      </w:r>
      <w:r w:rsidRPr="00AF1EEA">
        <w:t>домохозяйств</w:t>
      </w:r>
      <w:r w:rsidR="00FE3F1C" w:rsidRPr="00AF1EEA">
        <w:t>о</w:t>
      </w:r>
      <w:r w:rsidRPr="00AF1EEA">
        <w:t xml:space="preserve">, в среднем по России </w:t>
      </w:r>
      <w:r w:rsidR="00846862" w:rsidRPr="00AF1EEA">
        <w:t xml:space="preserve">составил </w:t>
      </w:r>
      <w:r w:rsidR="00AD5767" w:rsidRPr="00AF1EEA">
        <w:t>3</w:t>
      </w:r>
      <w:r w:rsidR="0004724A">
        <w:t>1</w:t>
      </w:r>
      <w:r w:rsidRPr="00AF1EEA">
        <w:t>%. Это означает, что средняя семья отдает около</w:t>
      </w:r>
      <w:r w:rsidR="00AD5767" w:rsidRPr="00AF1EEA">
        <w:t xml:space="preserve"> 3</w:t>
      </w:r>
      <w:r w:rsidR="0004724A">
        <w:t>1</w:t>
      </w:r>
      <w:r w:rsidRPr="00AF1EEA">
        <w:t>% от годового дохода на погашение банковских кредитов.</w:t>
      </w:r>
      <w:r w:rsidR="0004724A">
        <w:t xml:space="preserve"> </w:t>
      </w:r>
      <w:r w:rsidR="0004724A" w:rsidRPr="00AF1EEA">
        <w:t xml:space="preserve">Для сравнения, год назад средний уровень </w:t>
      </w:r>
      <w:proofErr w:type="spellStart"/>
      <w:r w:rsidR="0004724A" w:rsidRPr="00AF1EEA">
        <w:t>закредитованности</w:t>
      </w:r>
      <w:proofErr w:type="spellEnd"/>
      <w:r w:rsidR="0004724A" w:rsidRPr="00AF1EEA">
        <w:t xml:space="preserve"> </w:t>
      </w:r>
      <w:r w:rsidR="0004724A">
        <w:t>в первом квартале 2019 года составлял</w:t>
      </w:r>
      <w:r w:rsidR="0004724A" w:rsidRPr="00AF1EEA">
        <w:t xml:space="preserve"> 2</w:t>
      </w:r>
      <w:r w:rsidR="0004724A">
        <w:t>8</w:t>
      </w:r>
      <w:r w:rsidR="0004724A" w:rsidRPr="00AF1EEA">
        <w:t>%.</w:t>
      </w:r>
      <w:r w:rsidR="0004724A">
        <w:t xml:space="preserve"> Таким </w:t>
      </w:r>
      <w:r w:rsidR="00BD697A" w:rsidRPr="00BF7DB4">
        <w:rPr>
          <w:rFonts w:eastAsiaTheme="minorHAnsi"/>
          <w:lang w:eastAsia="en-US"/>
        </w:rPr>
        <w:t>образом</w:t>
      </w:r>
      <w:r w:rsidR="00BD697A" w:rsidRPr="00BF7DB4">
        <w:rPr>
          <w:rFonts w:eastAsiaTheme="minorHAnsi"/>
          <w:lang w:eastAsia="en-US"/>
        </w:rPr>
        <w:t xml:space="preserve"> увеличение долговой нагрузки за год составило 5 процентных пунктов</w:t>
      </w:r>
      <w:r w:rsidR="00BF7DB4" w:rsidRPr="00BF7DB4">
        <w:rPr>
          <w:rFonts w:eastAsiaTheme="minorHAnsi"/>
          <w:lang w:eastAsia="en-US"/>
        </w:rPr>
        <w:t xml:space="preserve">, что сказывается негативным образом на </w:t>
      </w:r>
      <w:r w:rsidR="00BF7DB4">
        <w:t>финансовом состоянии домохозяйств – больше доходов уходит на расчеты по кредитным обязательствам.</w:t>
      </w:r>
    </w:p>
    <w:p w14:paraId="4517543D" w14:textId="57498D6E" w:rsidR="0004724A" w:rsidRPr="0004724A" w:rsidRDefault="00FD7B1F" w:rsidP="00BD697A">
      <w:pPr>
        <w:jc w:val="both"/>
      </w:pPr>
      <w:r w:rsidRPr="00AF1EEA">
        <w:lastRenderedPageBreak/>
        <w:t xml:space="preserve"> </w:t>
      </w:r>
    </w:p>
    <w:p w14:paraId="319EF7E5" w14:textId="37212552" w:rsidR="0081325B" w:rsidRDefault="0081325B" w:rsidP="00274D03">
      <w:r w:rsidRPr="00AF1EEA">
        <w:t xml:space="preserve">В абсолютном выражении средняя кредитная задолженность на домохозяйство </w:t>
      </w:r>
      <w:r w:rsidR="008E6C48" w:rsidRPr="00AF1EEA">
        <w:t>по России</w:t>
      </w:r>
      <w:r w:rsidR="00B66619" w:rsidRPr="00AF1EEA">
        <w:t xml:space="preserve"> </w:t>
      </w:r>
      <w:r w:rsidRPr="00AF1EEA">
        <w:t>составила</w:t>
      </w:r>
      <w:r w:rsidR="00186844" w:rsidRPr="00274D03">
        <w:rPr>
          <w:rFonts w:eastAsiaTheme="minorHAnsi"/>
          <w:lang w:eastAsia="en-US"/>
        </w:rPr>
        <w:t xml:space="preserve"> </w:t>
      </w:r>
      <w:r w:rsidR="00186844" w:rsidRPr="00AF1EEA">
        <w:t>3</w:t>
      </w:r>
      <w:r w:rsidR="0022799A">
        <w:t>1</w:t>
      </w:r>
      <w:r w:rsidR="00186844" w:rsidRPr="00AF1EEA">
        <w:t>1</w:t>
      </w:r>
      <w:r w:rsidR="008F0435" w:rsidRPr="00AF1EEA">
        <w:t>,</w:t>
      </w:r>
      <w:r w:rsidR="0022799A">
        <w:t>1</w:t>
      </w:r>
      <w:r w:rsidR="00B05127" w:rsidRPr="00AF1EEA">
        <w:t xml:space="preserve"> тыс. руб. (годом ранее – </w:t>
      </w:r>
      <w:r w:rsidR="00274D03" w:rsidRPr="00274D03">
        <w:rPr>
          <w:rFonts w:eastAsiaTheme="minorHAnsi"/>
          <w:lang w:eastAsia="en-US"/>
        </w:rPr>
        <w:t>273,6</w:t>
      </w:r>
      <w:r w:rsidR="00274D03" w:rsidRPr="00274D03">
        <w:rPr>
          <w:rFonts w:eastAsiaTheme="minorHAnsi"/>
          <w:lang w:eastAsia="en-US"/>
        </w:rPr>
        <w:t xml:space="preserve"> </w:t>
      </w:r>
      <w:r w:rsidR="00B05127" w:rsidRPr="00AF1EEA">
        <w:t>тыс. руб.).</w:t>
      </w:r>
      <w:r w:rsidR="00B66619" w:rsidRPr="00AF1EEA">
        <w:t xml:space="preserve"> Средняя «просрочка» - </w:t>
      </w:r>
      <w:r w:rsidR="006F32EB">
        <w:t>12</w:t>
      </w:r>
      <w:r w:rsidR="00B66619" w:rsidRPr="00AF1EEA">
        <w:t>,</w:t>
      </w:r>
      <w:r w:rsidR="006F32EB">
        <w:t>9</w:t>
      </w:r>
      <w:r w:rsidR="00B66619" w:rsidRPr="00AF1EEA">
        <w:t xml:space="preserve"> тыс. руб. (годом ранее – </w:t>
      </w:r>
      <w:r w:rsidR="00274D03" w:rsidRPr="00274D03">
        <w:rPr>
          <w:rFonts w:eastAsiaTheme="minorHAnsi"/>
          <w:lang w:eastAsia="en-US"/>
        </w:rPr>
        <w:t>13,4 </w:t>
      </w:r>
      <w:r w:rsidR="00B66619" w:rsidRPr="00AF1EEA">
        <w:t>тыс. руб.).</w:t>
      </w:r>
    </w:p>
    <w:p w14:paraId="0DA18472" w14:textId="77777777" w:rsidR="006A13EF" w:rsidRPr="002D37E5" w:rsidRDefault="006A13EF" w:rsidP="00274D03">
      <w:pPr>
        <w:rPr>
          <w:rFonts w:eastAsiaTheme="minorHAnsi"/>
          <w:lang w:val="en-US" w:eastAsia="en-US"/>
        </w:rPr>
      </w:pPr>
    </w:p>
    <w:p w14:paraId="7417FE23" w14:textId="639870B5" w:rsidR="00A949AC" w:rsidRDefault="009347ED" w:rsidP="003B4986">
      <w:pPr>
        <w:jc w:val="both"/>
        <w:rPr>
          <w:color w:val="000000"/>
        </w:rPr>
      </w:pPr>
      <w:r w:rsidRPr="00AF1EEA">
        <w:t xml:space="preserve">В региональном разрезе уровень закредитованности </w:t>
      </w:r>
      <w:r w:rsidR="00224F31" w:rsidRPr="00AF1EEA">
        <w:t xml:space="preserve">отдельных регионов </w:t>
      </w:r>
      <w:r w:rsidRPr="00AF1EEA">
        <w:t>превысил 50% (Калмыкия, Тыва).</w:t>
      </w:r>
      <w:r w:rsidR="00B55DAB" w:rsidRPr="00AF1EEA">
        <w:t xml:space="preserve"> </w:t>
      </w:r>
      <w:r w:rsidR="00C76178" w:rsidRPr="00AF1EEA">
        <w:t>С</w:t>
      </w:r>
      <w:r w:rsidR="0006211D" w:rsidRPr="00AF1EEA">
        <w:t xml:space="preserve">выше 40% </w:t>
      </w:r>
      <w:r w:rsidR="00720F0F" w:rsidRPr="00AF1EEA">
        <w:t>сохраняется</w:t>
      </w:r>
      <w:r w:rsidR="00C76178" w:rsidRPr="00AF1EEA">
        <w:t xml:space="preserve"> уровень </w:t>
      </w:r>
      <w:proofErr w:type="spellStart"/>
      <w:r w:rsidR="0006211D" w:rsidRPr="00AF1EEA">
        <w:t>закредитованност</w:t>
      </w:r>
      <w:r w:rsidR="00C76178" w:rsidRPr="00AF1EEA">
        <w:t>и</w:t>
      </w:r>
      <w:proofErr w:type="spellEnd"/>
      <w:r w:rsidR="0006211D" w:rsidRPr="00AF1EEA">
        <w:t xml:space="preserve"> домохозяйств в </w:t>
      </w:r>
      <w:r w:rsidR="00034945" w:rsidRPr="00AF1EEA">
        <w:t>Иркутской области</w:t>
      </w:r>
      <w:r w:rsidR="00034945">
        <w:t xml:space="preserve">, </w:t>
      </w:r>
      <w:r w:rsidR="00034945" w:rsidRPr="00AF1EEA">
        <w:t>Калмыкии</w:t>
      </w:r>
      <w:r w:rsidR="00034945">
        <w:t xml:space="preserve">, </w:t>
      </w:r>
      <w:r w:rsidR="00034945" w:rsidRPr="002D37E5">
        <w:rPr>
          <w:color w:val="000000"/>
        </w:rPr>
        <w:t>Чуваши</w:t>
      </w:r>
      <w:r w:rsidR="00034945">
        <w:rPr>
          <w:color w:val="000000"/>
        </w:rPr>
        <w:t xml:space="preserve">и, </w:t>
      </w:r>
      <w:r w:rsidR="00034945" w:rsidRPr="002D37E5">
        <w:rPr>
          <w:color w:val="000000"/>
        </w:rPr>
        <w:t>Республик</w:t>
      </w:r>
      <w:r w:rsidR="00034945">
        <w:rPr>
          <w:color w:val="000000"/>
        </w:rPr>
        <w:t>и</w:t>
      </w:r>
      <w:r w:rsidR="00034945" w:rsidRPr="002D37E5">
        <w:rPr>
          <w:color w:val="000000"/>
        </w:rPr>
        <w:t xml:space="preserve"> Мордовия</w:t>
      </w:r>
      <w:r w:rsidR="00034945">
        <w:rPr>
          <w:color w:val="000000"/>
        </w:rPr>
        <w:t xml:space="preserve">, </w:t>
      </w:r>
      <w:r w:rsidR="00034945" w:rsidRPr="002D37E5">
        <w:rPr>
          <w:color w:val="000000"/>
        </w:rPr>
        <w:t>Коми</w:t>
      </w:r>
      <w:r w:rsidR="00034945">
        <w:rPr>
          <w:color w:val="000000"/>
        </w:rPr>
        <w:t xml:space="preserve">, </w:t>
      </w:r>
      <w:r w:rsidR="00034945" w:rsidRPr="002D37E5">
        <w:rPr>
          <w:color w:val="000000"/>
        </w:rPr>
        <w:t>Республик</w:t>
      </w:r>
      <w:r w:rsidR="00034945">
        <w:rPr>
          <w:color w:val="000000"/>
        </w:rPr>
        <w:t>и</w:t>
      </w:r>
      <w:r w:rsidR="00034945" w:rsidRPr="002D37E5">
        <w:rPr>
          <w:color w:val="000000"/>
        </w:rPr>
        <w:t xml:space="preserve"> Марий Эл</w:t>
      </w:r>
      <w:r w:rsidR="00034945">
        <w:rPr>
          <w:color w:val="000000"/>
        </w:rPr>
        <w:t xml:space="preserve">, </w:t>
      </w:r>
      <w:r w:rsidR="00844101" w:rsidRPr="002D37E5">
        <w:rPr>
          <w:color w:val="000000"/>
        </w:rPr>
        <w:t>Тюменск</w:t>
      </w:r>
      <w:r w:rsidR="00844101">
        <w:rPr>
          <w:color w:val="000000"/>
        </w:rPr>
        <w:t xml:space="preserve">ой, </w:t>
      </w:r>
      <w:r w:rsidR="00844101" w:rsidRPr="002D37E5">
        <w:rPr>
          <w:color w:val="000000"/>
        </w:rPr>
        <w:t>Ленинградск</w:t>
      </w:r>
      <w:r w:rsidR="00844101">
        <w:rPr>
          <w:color w:val="000000"/>
        </w:rPr>
        <w:t xml:space="preserve">ой, </w:t>
      </w:r>
      <w:r w:rsidR="00844101" w:rsidRPr="002D37E5">
        <w:rPr>
          <w:color w:val="000000"/>
        </w:rPr>
        <w:t>Новосибирск</w:t>
      </w:r>
      <w:r w:rsidR="00844101">
        <w:rPr>
          <w:color w:val="000000"/>
        </w:rPr>
        <w:t>ой области.</w:t>
      </w:r>
    </w:p>
    <w:p w14:paraId="6A28B7D4" w14:textId="77777777" w:rsidR="006A13EF" w:rsidRPr="00AF1EEA" w:rsidRDefault="006A13EF" w:rsidP="003B4986">
      <w:pPr>
        <w:jc w:val="both"/>
      </w:pPr>
    </w:p>
    <w:p w14:paraId="1B4DF8E2" w14:textId="206E2636" w:rsidR="0051758E" w:rsidRDefault="00D22313" w:rsidP="00E93F5B">
      <w:pPr>
        <w:jc w:val="both"/>
        <w:rPr>
          <w:b/>
        </w:rPr>
      </w:pPr>
      <w:r w:rsidRPr="00AF1EEA">
        <w:rPr>
          <w:b/>
        </w:rPr>
        <w:t>Топ-1</w:t>
      </w:r>
      <w:r w:rsidR="002D37E5" w:rsidRPr="002D37E5">
        <w:rPr>
          <w:b/>
        </w:rPr>
        <w:t xml:space="preserve">1 </w:t>
      </w:r>
      <w:r w:rsidRPr="00AF1EEA">
        <w:rPr>
          <w:b/>
        </w:rPr>
        <w:t>регионов с наибо</w:t>
      </w:r>
      <w:r w:rsidR="00E93F5B" w:rsidRPr="00AF1EEA">
        <w:rPr>
          <w:b/>
        </w:rPr>
        <w:t xml:space="preserve">льшим уровнем </w:t>
      </w:r>
      <w:proofErr w:type="spellStart"/>
      <w:r w:rsidR="00E93F5B" w:rsidRPr="00AF1EEA">
        <w:rPr>
          <w:b/>
        </w:rPr>
        <w:t>закредитованности</w:t>
      </w:r>
      <w:proofErr w:type="spellEnd"/>
    </w:p>
    <w:p w14:paraId="3CBCA2FC" w14:textId="77777777" w:rsidR="00305824" w:rsidRPr="00AF1EEA" w:rsidRDefault="00305824" w:rsidP="00E93F5B">
      <w:pPr>
        <w:jc w:val="both"/>
        <w:rPr>
          <w:b/>
        </w:rPr>
      </w:pPr>
    </w:p>
    <w:tbl>
      <w:tblPr>
        <w:tblW w:w="7792" w:type="dxa"/>
        <w:tblLook w:val="04A0" w:firstRow="1" w:lastRow="0" w:firstColumn="1" w:lastColumn="0" w:noHBand="0" w:noVBand="1"/>
      </w:tblPr>
      <w:tblGrid>
        <w:gridCol w:w="3358"/>
        <w:gridCol w:w="2077"/>
        <w:gridCol w:w="2378"/>
      </w:tblGrid>
      <w:tr w:rsidR="002D37E5" w:rsidRPr="002D37E5" w14:paraId="5065DF20" w14:textId="77777777" w:rsidTr="002D37E5">
        <w:trPr>
          <w:trHeight w:val="1360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hideMark/>
          </w:tcPr>
          <w:p w14:paraId="5FFBE92A" w14:textId="77777777" w:rsidR="002D37E5" w:rsidRPr="002D37E5" w:rsidRDefault="002D37E5" w:rsidP="002D37E5">
            <w:pPr>
              <w:jc w:val="center"/>
              <w:rPr>
                <w:b/>
                <w:bCs/>
                <w:color w:val="000000"/>
              </w:rPr>
            </w:pPr>
            <w:r w:rsidRPr="002D37E5">
              <w:rPr>
                <w:b/>
                <w:bCs/>
                <w:color w:val="000000"/>
              </w:rPr>
              <w:t>Субъект РФ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hideMark/>
          </w:tcPr>
          <w:p w14:paraId="5E2CE465" w14:textId="77777777" w:rsidR="002D37E5" w:rsidRPr="002D37E5" w:rsidRDefault="002D37E5" w:rsidP="002D37E5">
            <w:pPr>
              <w:jc w:val="center"/>
              <w:rPr>
                <w:b/>
                <w:bCs/>
                <w:color w:val="000000"/>
              </w:rPr>
            </w:pPr>
            <w:r w:rsidRPr="002D37E5">
              <w:rPr>
                <w:b/>
                <w:bCs/>
                <w:color w:val="000000"/>
              </w:rPr>
              <w:t xml:space="preserve">Средняя задолженность домохозяйства, </w:t>
            </w:r>
            <w:proofErr w:type="spellStart"/>
            <w:r w:rsidRPr="002D37E5">
              <w:rPr>
                <w:b/>
                <w:bCs/>
                <w:color w:val="000000"/>
              </w:rPr>
              <w:t>руб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hideMark/>
          </w:tcPr>
          <w:p w14:paraId="7B42E55B" w14:textId="77777777" w:rsidR="002D37E5" w:rsidRPr="002D37E5" w:rsidRDefault="002D37E5" w:rsidP="002D37E5">
            <w:pPr>
              <w:jc w:val="center"/>
              <w:rPr>
                <w:b/>
                <w:bCs/>
                <w:color w:val="000000"/>
              </w:rPr>
            </w:pPr>
            <w:r w:rsidRPr="002D37E5">
              <w:rPr>
                <w:b/>
                <w:bCs/>
                <w:color w:val="000000"/>
              </w:rPr>
              <w:t xml:space="preserve">Уровень </w:t>
            </w:r>
            <w:proofErr w:type="spellStart"/>
            <w:r w:rsidRPr="002D37E5">
              <w:rPr>
                <w:b/>
                <w:bCs/>
                <w:color w:val="000000"/>
              </w:rPr>
              <w:t>закредитованности</w:t>
            </w:r>
            <w:proofErr w:type="spellEnd"/>
            <w:r w:rsidRPr="002D37E5">
              <w:rPr>
                <w:b/>
                <w:bCs/>
                <w:color w:val="000000"/>
              </w:rPr>
              <w:t>, в % от годового дохода</w:t>
            </w:r>
          </w:p>
        </w:tc>
      </w:tr>
      <w:tr w:rsidR="002D37E5" w:rsidRPr="002D37E5" w14:paraId="6EDD4AA4" w14:textId="77777777" w:rsidTr="002D37E5">
        <w:trPr>
          <w:trHeight w:val="320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DAD42" w14:textId="77777777" w:rsidR="002D37E5" w:rsidRPr="002D37E5" w:rsidRDefault="002D37E5" w:rsidP="002D37E5">
            <w:pPr>
              <w:rPr>
                <w:color w:val="000000"/>
              </w:rPr>
            </w:pPr>
            <w:r w:rsidRPr="002D37E5">
              <w:rPr>
                <w:color w:val="000000"/>
              </w:rPr>
              <w:t>Республика Тыва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CA6A0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386183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12675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66%</w:t>
            </w:r>
          </w:p>
        </w:tc>
      </w:tr>
      <w:tr w:rsidR="002D37E5" w:rsidRPr="002D37E5" w14:paraId="23C2835B" w14:textId="77777777" w:rsidTr="002D37E5">
        <w:trPr>
          <w:trHeight w:val="320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56466" w14:textId="77777777" w:rsidR="002D37E5" w:rsidRPr="002D37E5" w:rsidRDefault="002D37E5" w:rsidP="002D37E5">
            <w:pPr>
              <w:rPr>
                <w:color w:val="000000"/>
              </w:rPr>
            </w:pPr>
            <w:r w:rsidRPr="002D37E5">
              <w:rPr>
                <w:color w:val="000000"/>
              </w:rPr>
              <w:t>Республика Калмыкия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96969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390310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D9825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62%</w:t>
            </w:r>
          </w:p>
        </w:tc>
      </w:tr>
      <w:tr w:rsidR="002D37E5" w:rsidRPr="002D37E5" w14:paraId="371E78AE" w14:textId="77777777" w:rsidTr="002D37E5">
        <w:trPr>
          <w:trHeight w:val="320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61192" w14:textId="77777777" w:rsidR="002D37E5" w:rsidRPr="002D37E5" w:rsidRDefault="002D37E5" w:rsidP="002D37E5">
            <w:pPr>
              <w:rPr>
                <w:color w:val="000000"/>
              </w:rPr>
            </w:pPr>
            <w:r w:rsidRPr="002D37E5">
              <w:rPr>
                <w:color w:val="000000"/>
              </w:rPr>
              <w:t>Чувашская Республика - Чувашия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D143C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278514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E27ED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49%</w:t>
            </w:r>
          </w:p>
        </w:tc>
      </w:tr>
      <w:tr w:rsidR="002D37E5" w:rsidRPr="002D37E5" w14:paraId="61041B90" w14:textId="77777777" w:rsidTr="002D37E5">
        <w:trPr>
          <w:trHeight w:val="320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86CED" w14:textId="77777777" w:rsidR="002D37E5" w:rsidRPr="002D37E5" w:rsidRDefault="002D37E5" w:rsidP="002D37E5">
            <w:pPr>
              <w:rPr>
                <w:color w:val="000000"/>
              </w:rPr>
            </w:pPr>
            <w:r w:rsidRPr="002D37E5">
              <w:rPr>
                <w:color w:val="000000"/>
              </w:rPr>
              <w:t>Иркутская область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77F0B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336392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16C4A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47%</w:t>
            </w:r>
          </w:p>
        </w:tc>
      </w:tr>
      <w:tr w:rsidR="002D37E5" w:rsidRPr="002D37E5" w14:paraId="607A994E" w14:textId="77777777" w:rsidTr="002D37E5">
        <w:trPr>
          <w:trHeight w:val="320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2447E" w14:textId="77777777" w:rsidR="002D37E5" w:rsidRPr="002D37E5" w:rsidRDefault="002D37E5" w:rsidP="002D37E5">
            <w:pPr>
              <w:rPr>
                <w:color w:val="000000"/>
              </w:rPr>
            </w:pPr>
            <w:r w:rsidRPr="002D37E5">
              <w:rPr>
                <w:color w:val="000000"/>
              </w:rPr>
              <w:t>Новосибирская область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A862A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339119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9E4C8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44%</w:t>
            </w:r>
          </w:p>
        </w:tc>
      </w:tr>
      <w:tr w:rsidR="002D37E5" w:rsidRPr="002D37E5" w14:paraId="263F4471" w14:textId="77777777" w:rsidTr="002D37E5">
        <w:trPr>
          <w:trHeight w:val="320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83E92" w14:textId="77777777" w:rsidR="002D37E5" w:rsidRPr="002D37E5" w:rsidRDefault="002D37E5" w:rsidP="002D37E5">
            <w:pPr>
              <w:rPr>
                <w:color w:val="000000"/>
              </w:rPr>
            </w:pPr>
            <w:r w:rsidRPr="002D37E5">
              <w:rPr>
                <w:color w:val="000000"/>
              </w:rPr>
              <w:t>Тюменская область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53CD6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595058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B9064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42%</w:t>
            </w:r>
          </w:p>
        </w:tc>
      </w:tr>
      <w:tr w:rsidR="002D37E5" w:rsidRPr="002D37E5" w14:paraId="1E3DF615" w14:textId="77777777" w:rsidTr="002D37E5">
        <w:trPr>
          <w:trHeight w:val="320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15D1E" w14:textId="77777777" w:rsidR="002D37E5" w:rsidRPr="002D37E5" w:rsidRDefault="002D37E5" w:rsidP="002D37E5">
            <w:pPr>
              <w:rPr>
                <w:color w:val="000000"/>
              </w:rPr>
            </w:pPr>
            <w:r w:rsidRPr="002D37E5">
              <w:rPr>
                <w:color w:val="000000"/>
              </w:rPr>
              <w:t>Ленинградская область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E3F55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373817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08E41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42%</w:t>
            </w:r>
          </w:p>
        </w:tc>
      </w:tr>
      <w:tr w:rsidR="002D37E5" w:rsidRPr="002D37E5" w14:paraId="7B9360B6" w14:textId="77777777" w:rsidTr="002D37E5">
        <w:trPr>
          <w:trHeight w:val="320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64C62" w14:textId="77777777" w:rsidR="002D37E5" w:rsidRPr="002D37E5" w:rsidRDefault="002D37E5" w:rsidP="002D37E5">
            <w:pPr>
              <w:rPr>
                <w:color w:val="000000"/>
              </w:rPr>
            </w:pPr>
            <w:r w:rsidRPr="002D37E5">
              <w:rPr>
                <w:color w:val="000000"/>
              </w:rPr>
              <w:t>Республика Мордовия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D33C0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226966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73905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42%</w:t>
            </w:r>
          </w:p>
        </w:tc>
      </w:tr>
      <w:tr w:rsidR="002D37E5" w:rsidRPr="002D37E5" w14:paraId="5CEE47AC" w14:textId="77777777" w:rsidTr="002D37E5">
        <w:trPr>
          <w:trHeight w:val="320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21589" w14:textId="77777777" w:rsidR="002D37E5" w:rsidRPr="002D37E5" w:rsidRDefault="002D37E5" w:rsidP="002D37E5">
            <w:pPr>
              <w:rPr>
                <w:color w:val="000000"/>
              </w:rPr>
            </w:pPr>
            <w:r w:rsidRPr="002D37E5">
              <w:rPr>
                <w:color w:val="000000"/>
              </w:rPr>
              <w:t>Удмуртская Республика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10681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312742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3659F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41%</w:t>
            </w:r>
          </w:p>
        </w:tc>
      </w:tr>
      <w:tr w:rsidR="002D37E5" w:rsidRPr="002D37E5" w14:paraId="0AFE1184" w14:textId="77777777" w:rsidTr="002D37E5">
        <w:trPr>
          <w:trHeight w:val="320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07331" w14:textId="77777777" w:rsidR="002D37E5" w:rsidRPr="002D37E5" w:rsidRDefault="002D37E5" w:rsidP="002D37E5">
            <w:pPr>
              <w:rPr>
                <w:color w:val="000000"/>
              </w:rPr>
            </w:pPr>
            <w:r w:rsidRPr="002D37E5">
              <w:rPr>
                <w:color w:val="000000"/>
              </w:rPr>
              <w:t>Республика Коми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FF340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376138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38690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41%</w:t>
            </w:r>
          </w:p>
        </w:tc>
      </w:tr>
      <w:tr w:rsidR="002D37E5" w:rsidRPr="002D37E5" w14:paraId="6A458523" w14:textId="77777777" w:rsidTr="002D37E5">
        <w:trPr>
          <w:trHeight w:val="320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2A834" w14:textId="77777777" w:rsidR="002D37E5" w:rsidRPr="002D37E5" w:rsidRDefault="002D37E5" w:rsidP="002D37E5">
            <w:pPr>
              <w:rPr>
                <w:color w:val="000000"/>
              </w:rPr>
            </w:pPr>
            <w:r w:rsidRPr="002D37E5">
              <w:rPr>
                <w:color w:val="000000"/>
              </w:rPr>
              <w:t>Республика Марий Эл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BB606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243572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2C392" w14:textId="77777777" w:rsidR="002D37E5" w:rsidRPr="002D37E5" w:rsidRDefault="002D37E5" w:rsidP="002D37E5">
            <w:pPr>
              <w:jc w:val="right"/>
              <w:rPr>
                <w:color w:val="000000"/>
              </w:rPr>
            </w:pPr>
            <w:r w:rsidRPr="002D37E5">
              <w:rPr>
                <w:color w:val="000000"/>
              </w:rPr>
              <w:t>41%</w:t>
            </w:r>
          </w:p>
        </w:tc>
      </w:tr>
    </w:tbl>
    <w:p w14:paraId="74AC107E" w14:textId="77777777" w:rsidR="00844101" w:rsidRDefault="00844101" w:rsidP="00E93F5B">
      <w:pPr>
        <w:jc w:val="both"/>
      </w:pPr>
    </w:p>
    <w:p w14:paraId="44C4ED9A" w14:textId="3606C77B" w:rsidR="00844101" w:rsidRDefault="00E93F5B" w:rsidP="00E93F5B">
      <w:pPr>
        <w:jc w:val="both"/>
      </w:pPr>
      <w:r w:rsidRPr="00AF1EEA">
        <w:t>* Данные Банка России, расчеты проекта ОНФ «За права заемщиков»</w:t>
      </w:r>
    </w:p>
    <w:p w14:paraId="3D1F9B3E" w14:textId="77777777" w:rsidR="00D63B36" w:rsidRDefault="00D63B36" w:rsidP="00E93F5B">
      <w:pPr>
        <w:jc w:val="both"/>
      </w:pPr>
    </w:p>
    <w:p w14:paraId="6F3C64BE" w14:textId="2D57EBB2" w:rsidR="00844101" w:rsidRDefault="00844101" w:rsidP="00844101">
      <w:pPr>
        <w:jc w:val="both"/>
      </w:pPr>
      <w:r w:rsidRPr="00AF1EEA">
        <w:t xml:space="preserve">Низкие показатели </w:t>
      </w:r>
      <w:proofErr w:type="spellStart"/>
      <w:r w:rsidRPr="00AF1EEA">
        <w:t>закредитованности</w:t>
      </w:r>
      <w:proofErr w:type="spellEnd"/>
      <w:r w:rsidRPr="00AF1EEA">
        <w:t xml:space="preserve"> сохраняются в регионах Северо-Кавказского федерального округа (Дагестан - </w:t>
      </w:r>
      <w:r w:rsidR="00A65FB6">
        <w:t>8</w:t>
      </w:r>
      <w:r w:rsidRPr="00AF1EEA">
        <w:t xml:space="preserve">%, Ингушетия - </w:t>
      </w:r>
      <w:r w:rsidR="00A65FB6">
        <w:t>8</w:t>
      </w:r>
      <w:r w:rsidRPr="00AF1EEA">
        <w:t xml:space="preserve">%, Чечня </w:t>
      </w:r>
      <w:r w:rsidR="00A65FB6">
        <w:t>– 9</w:t>
      </w:r>
      <w:r w:rsidR="00A65FB6" w:rsidRPr="00A65FB6">
        <w:t>%</w:t>
      </w:r>
      <w:r w:rsidRPr="00AF1EEA">
        <w:t xml:space="preserve">), а также в Крыму и Севастополе </w:t>
      </w:r>
      <w:r w:rsidR="00A65FB6" w:rsidRPr="00A65FB6">
        <w:t>9%</w:t>
      </w:r>
    </w:p>
    <w:p w14:paraId="20F9DA44" w14:textId="2BC56E52" w:rsidR="00A65FB6" w:rsidRDefault="00A65FB6" w:rsidP="00844101">
      <w:pPr>
        <w:jc w:val="both"/>
        <w:rPr>
          <w:b/>
        </w:rPr>
      </w:pPr>
      <w:r w:rsidRPr="00AF1EEA">
        <w:rPr>
          <w:b/>
        </w:rPr>
        <w:t>Топ-1</w:t>
      </w:r>
      <w:r w:rsidRPr="00A65FB6">
        <w:rPr>
          <w:b/>
        </w:rPr>
        <w:t xml:space="preserve">0 </w:t>
      </w:r>
      <w:r w:rsidRPr="00AF1EEA">
        <w:rPr>
          <w:b/>
        </w:rPr>
        <w:t xml:space="preserve">регионов с </w:t>
      </w:r>
      <w:r>
        <w:rPr>
          <w:b/>
        </w:rPr>
        <w:t>наименьшим</w:t>
      </w:r>
      <w:r w:rsidRPr="00AF1EEA">
        <w:rPr>
          <w:b/>
        </w:rPr>
        <w:t xml:space="preserve"> уровнем </w:t>
      </w:r>
      <w:proofErr w:type="spellStart"/>
      <w:r w:rsidRPr="00AF1EEA">
        <w:rPr>
          <w:b/>
        </w:rPr>
        <w:t>закредитованности</w:t>
      </w:r>
      <w:proofErr w:type="spellEnd"/>
    </w:p>
    <w:p w14:paraId="50261249" w14:textId="77777777" w:rsidR="00305824" w:rsidRPr="00A65FB6" w:rsidRDefault="00305824" w:rsidP="00844101">
      <w:pPr>
        <w:jc w:val="both"/>
        <w:rPr>
          <w:b/>
        </w:rPr>
      </w:pPr>
    </w:p>
    <w:tbl>
      <w:tblPr>
        <w:tblW w:w="8075" w:type="dxa"/>
        <w:tblLook w:val="04A0" w:firstRow="1" w:lastRow="0" w:firstColumn="1" w:lastColumn="0" w:noHBand="0" w:noVBand="1"/>
      </w:tblPr>
      <w:tblGrid>
        <w:gridCol w:w="3515"/>
        <w:gridCol w:w="2009"/>
        <w:gridCol w:w="2551"/>
      </w:tblGrid>
      <w:tr w:rsidR="00E11C4D" w:rsidRPr="00E11C4D" w14:paraId="51D81022" w14:textId="77777777" w:rsidTr="00E11C4D">
        <w:trPr>
          <w:trHeight w:val="1360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hideMark/>
          </w:tcPr>
          <w:p w14:paraId="51C9ACE1" w14:textId="77777777" w:rsidR="00E11C4D" w:rsidRPr="00E11C4D" w:rsidRDefault="00E11C4D" w:rsidP="00E11C4D">
            <w:pPr>
              <w:jc w:val="center"/>
              <w:rPr>
                <w:b/>
                <w:bCs/>
                <w:color w:val="000000"/>
              </w:rPr>
            </w:pPr>
            <w:r w:rsidRPr="00E11C4D">
              <w:rPr>
                <w:b/>
                <w:bCs/>
                <w:color w:val="000000"/>
              </w:rPr>
              <w:t>Субъект РФ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hideMark/>
          </w:tcPr>
          <w:p w14:paraId="40FA1DFD" w14:textId="77777777" w:rsidR="00E11C4D" w:rsidRPr="00E11C4D" w:rsidRDefault="00E11C4D" w:rsidP="00E11C4D">
            <w:pPr>
              <w:jc w:val="center"/>
              <w:rPr>
                <w:b/>
                <w:bCs/>
                <w:color w:val="000000"/>
              </w:rPr>
            </w:pPr>
            <w:r w:rsidRPr="00E11C4D">
              <w:rPr>
                <w:b/>
                <w:bCs/>
                <w:color w:val="000000"/>
              </w:rPr>
              <w:t xml:space="preserve">Средняя задолженность домохозяйства, </w:t>
            </w:r>
            <w:proofErr w:type="spellStart"/>
            <w:r w:rsidRPr="00E11C4D">
              <w:rPr>
                <w:b/>
                <w:bCs/>
                <w:color w:val="000000"/>
              </w:rPr>
              <w:t>руб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hideMark/>
          </w:tcPr>
          <w:p w14:paraId="565D3C1D" w14:textId="77777777" w:rsidR="00E11C4D" w:rsidRPr="00E11C4D" w:rsidRDefault="00E11C4D" w:rsidP="00E11C4D">
            <w:pPr>
              <w:jc w:val="center"/>
              <w:rPr>
                <w:b/>
                <w:bCs/>
                <w:color w:val="000000"/>
              </w:rPr>
            </w:pPr>
            <w:r w:rsidRPr="00E11C4D">
              <w:rPr>
                <w:b/>
                <w:bCs/>
                <w:color w:val="000000"/>
              </w:rPr>
              <w:t xml:space="preserve">Уровень </w:t>
            </w:r>
            <w:proofErr w:type="spellStart"/>
            <w:r w:rsidRPr="00E11C4D">
              <w:rPr>
                <w:b/>
                <w:bCs/>
                <w:color w:val="000000"/>
              </w:rPr>
              <w:t>закредитованности</w:t>
            </w:r>
            <w:proofErr w:type="spellEnd"/>
            <w:r w:rsidRPr="00E11C4D">
              <w:rPr>
                <w:b/>
                <w:bCs/>
                <w:color w:val="000000"/>
              </w:rPr>
              <w:t>, в % от годового дохода</w:t>
            </w:r>
          </w:p>
        </w:tc>
      </w:tr>
      <w:tr w:rsidR="00E11C4D" w:rsidRPr="00E11C4D" w14:paraId="77EAFD86" w14:textId="77777777" w:rsidTr="00E11C4D">
        <w:trPr>
          <w:trHeight w:val="320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FBBE5" w14:textId="77777777" w:rsidR="00E11C4D" w:rsidRPr="00E11C4D" w:rsidRDefault="00E11C4D" w:rsidP="00E11C4D">
            <w:pPr>
              <w:rPr>
                <w:color w:val="000000"/>
              </w:rPr>
            </w:pPr>
            <w:r w:rsidRPr="00E11C4D">
              <w:rPr>
                <w:color w:val="000000"/>
              </w:rPr>
              <w:t>Республика Дагестан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82E56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95552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67387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8%</w:t>
            </w:r>
          </w:p>
        </w:tc>
      </w:tr>
      <w:tr w:rsidR="00E11C4D" w:rsidRPr="00E11C4D" w14:paraId="3129E6C7" w14:textId="77777777" w:rsidTr="00E11C4D">
        <w:trPr>
          <w:trHeight w:val="320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CE4B6" w14:textId="77777777" w:rsidR="00E11C4D" w:rsidRPr="00E11C4D" w:rsidRDefault="00E11C4D" w:rsidP="00E11C4D">
            <w:pPr>
              <w:rPr>
                <w:color w:val="000000"/>
              </w:rPr>
            </w:pPr>
            <w:r w:rsidRPr="00E11C4D">
              <w:rPr>
                <w:color w:val="000000"/>
              </w:rPr>
              <w:t>Республика Ингушетия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EC44D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89458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DA1ED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8%</w:t>
            </w:r>
          </w:p>
        </w:tc>
      </w:tr>
      <w:tr w:rsidR="00E11C4D" w:rsidRPr="00E11C4D" w14:paraId="07DB8917" w14:textId="77777777" w:rsidTr="00E11C4D">
        <w:trPr>
          <w:trHeight w:val="320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7266D" w14:textId="77777777" w:rsidR="00E11C4D" w:rsidRPr="00E11C4D" w:rsidRDefault="00E11C4D" w:rsidP="00E11C4D">
            <w:pPr>
              <w:rPr>
                <w:color w:val="000000"/>
              </w:rPr>
            </w:pPr>
            <w:r w:rsidRPr="00E11C4D">
              <w:rPr>
                <w:color w:val="000000"/>
              </w:rPr>
              <w:t>Республика Крым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9FE09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60520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38253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9%</w:t>
            </w:r>
          </w:p>
        </w:tc>
      </w:tr>
      <w:tr w:rsidR="00E11C4D" w:rsidRPr="00E11C4D" w14:paraId="6E1F7827" w14:textId="77777777" w:rsidTr="00E11C4D">
        <w:trPr>
          <w:trHeight w:val="320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6F028" w14:textId="77777777" w:rsidR="00E11C4D" w:rsidRPr="00E11C4D" w:rsidRDefault="00E11C4D" w:rsidP="00E11C4D">
            <w:pPr>
              <w:rPr>
                <w:color w:val="000000"/>
              </w:rPr>
            </w:pPr>
            <w:r w:rsidRPr="00E11C4D">
              <w:rPr>
                <w:color w:val="000000"/>
              </w:rPr>
              <w:t>Чеченская Республика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7D5DE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113646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48D5A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9%</w:t>
            </w:r>
          </w:p>
        </w:tc>
      </w:tr>
      <w:tr w:rsidR="00E11C4D" w:rsidRPr="00E11C4D" w14:paraId="10FEF55A" w14:textId="77777777" w:rsidTr="00E11C4D">
        <w:trPr>
          <w:trHeight w:val="320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174CA" w14:textId="77777777" w:rsidR="00E11C4D" w:rsidRPr="00E11C4D" w:rsidRDefault="00E11C4D" w:rsidP="00E11C4D">
            <w:pPr>
              <w:rPr>
                <w:color w:val="000000"/>
              </w:rPr>
            </w:pPr>
            <w:r w:rsidRPr="00E11C4D">
              <w:rPr>
                <w:color w:val="000000"/>
              </w:rPr>
              <w:t>г. Севастополь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A56B3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76443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D11C1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9%</w:t>
            </w:r>
          </w:p>
        </w:tc>
      </w:tr>
      <w:tr w:rsidR="00E11C4D" w:rsidRPr="00E11C4D" w14:paraId="20D3BFB6" w14:textId="77777777" w:rsidTr="00E11C4D">
        <w:trPr>
          <w:trHeight w:val="320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7482D" w14:textId="77777777" w:rsidR="00E11C4D" w:rsidRPr="00E11C4D" w:rsidRDefault="00E11C4D" w:rsidP="00E11C4D">
            <w:pPr>
              <w:rPr>
                <w:color w:val="000000"/>
              </w:rPr>
            </w:pPr>
            <w:r w:rsidRPr="00E11C4D">
              <w:rPr>
                <w:color w:val="000000"/>
              </w:rPr>
              <w:t>Чукотский автономный округ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8AEF4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420422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CA0DA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21%</w:t>
            </w:r>
          </w:p>
        </w:tc>
      </w:tr>
      <w:tr w:rsidR="00E11C4D" w:rsidRPr="00E11C4D" w14:paraId="4D22395A" w14:textId="77777777" w:rsidTr="00E11C4D">
        <w:trPr>
          <w:trHeight w:val="320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E6DF9" w14:textId="77777777" w:rsidR="00E11C4D" w:rsidRPr="00E11C4D" w:rsidRDefault="00E11C4D" w:rsidP="00E11C4D">
            <w:pPr>
              <w:rPr>
                <w:color w:val="000000"/>
              </w:rPr>
            </w:pPr>
            <w:r w:rsidRPr="00E11C4D">
              <w:rPr>
                <w:color w:val="000000"/>
              </w:rPr>
              <w:t>г. Москва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DE6E4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420030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F6F00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22%</w:t>
            </w:r>
          </w:p>
        </w:tc>
      </w:tr>
      <w:tr w:rsidR="00E11C4D" w:rsidRPr="00E11C4D" w14:paraId="5A91E9D9" w14:textId="77777777" w:rsidTr="00E11C4D">
        <w:trPr>
          <w:trHeight w:val="320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F102E" w14:textId="77777777" w:rsidR="00E11C4D" w:rsidRPr="00E11C4D" w:rsidRDefault="00E11C4D" w:rsidP="00E11C4D">
            <w:pPr>
              <w:rPr>
                <w:color w:val="000000"/>
              </w:rPr>
            </w:pPr>
            <w:r w:rsidRPr="00E11C4D">
              <w:rPr>
                <w:color w:val="000000"/>
              </w:rPr>
              <w:lastRenderedPageBreak/>
              <w:t>Кабардино-Балкарская Республика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C906D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205153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D65A9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22%</w:t>
            </w:r>
          </w:p>
        </w:tc>
      </w:tr>
      <w:tr w:rsidR="00E11C4D" w:rsidRPr="00E11C4D" w14:paraId="4AB747E0" w14:textId="77777777" w:rsidTr="00E11C4D">
        <w:trPr>
          <w:trHeight w:val="320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5016D" w14:textId="77777777" w:rsidR="00E11C4D" w:rsidRPr="00E11C4D" w:rsidRDefault="00E11C4D" w:rsidP="00E11C4D">
            <w:pPr>
              <w:rPr>
                <w:color w:val="000000"/>
              </w:rPr>
            </w:pPr>
            <w:r w:rsidRPr="00E11C4D">
              <w:rPr>
                <w:color w:val="000000"/>
              </w:rPr>
              <w:t>Белгородская область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47309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244211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E0234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25%</w:t>
            </w:r>
          </w:p>
        </w:tc>
      </w:tr>
      <w:tr w:rsidR="00E11C4D" w:rsidRPr="00E11C4D" w14:paraId="3E654AD3" w14:textId="77777777" w:rsidTr="00E11C4D">
        <w:trPr>
          <w:trHeight w:val="320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D450C" w14:textId="77777777" w:rsidR="00E11C4D" w:rsidRPr="00E11C4D" w:rsidRDefault="00E11C4D" w:rsidP="00E11C4D">
            <w:pPr>
              <w:rPr>
                <w:color w:val="000000"/>
              </w:rPr>
            </w:pPr>
            <w:r w:rsidRPr="00E11C4D">
              <w:rPr>
                <w:color w:val="000000"/>
              </w:rPr>
              <w:t>Брянская область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ED40C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211392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99F68" w14:textId="77777777" w:rsidR="00E11C4D" w:rsidRPr="00E11C4D" w:rsidRDefault="00E11C4D" w:rsidP="00E11C4D">
            <w:pPr>
              <w:jc w:val="right"/>
              <w:rPr>
                <w:color w:val="000000"/>
              </w:rPr>
            </w:pPr>
            <w:r w:rsidRPr="00E11C4D">
              <w:rPr>
                <w:color w:val="000000"/>
              </w:rPr>
              <w:t>26%</w:t>
            </w:r>
          </w:p>
        </w:tc>
      </w:tr>
    </w:tbl>
    <w:p w14:paraId="59536451" w14:textId="6ECFD1FC" w:rsidR="00844101" w:rsidRDefault="00844101" w:rsidP="00E93F5B">
      <w:pPr>
        <w:jc w:val="both"/>
      </w:pPr>
    </w:p>
    <w:p w14:paraId="605E2604" w14:textId="00936009" w:rsidR="00A65FB6" w:rsidRDefault="00A65FB6" w:rsidP="00A65FB6">
      <w:pPr>
        <w:jc w:val="both"/>
      </w:pPr>
      <w:r w:rsidRPr="00AF1EEA">
        <w:t>* Данные Банка России, расчеты проекта ОНФ «За права заемщиков»</w:t>
      </w:r>
    </w:p>
    <w:p w14:paraId="30D7E9D3" w14:textId="77777777" w:rsidR="00D63B36" w:rsidRDefault="00D63B36" w:rsidP="00A65FB6">
      <w:pPr>
        <w:jc w:val="both"/>
      </w:pPr>
    </w:p>
    <w:p w14:paraId="5844DD34" w14:textId="7F6B9209" w:rsidR="00747A8C" w:rsidRPr="00AF1EEA" w:rsidRDefault="008A5599" w:rsidP="00A65FB6">
      <w:pPr>
        <w:jc w:val="both"/>
        <w:rPr>
          <w:color w:val="000000"/>
        </w:rPr>
      </w:pPr>
      <w:r w:rsidRPr="00AF1EEA">
        <w:t xml:space="preserve">По </w:t>
      </w:r>
      <w:r w:rsidR="004B740A" w:rsidRPr="00AF1EEA">
        <w:t>доле</w:t>
      </w:r>
      <w:r w:rsidRPr="00AF1EEA">
        <w:t xml:space="preserve"> просроченной задолженности лидирует Республика Ингушетия (</w:t>
      </w:r>
      <w:r w:rsidR="00C20651" w:rsidRPr="00AF1EEA">
        <w:t>1</w:t>
      </w:r>
      <w:r w:rsidR="00747A8C" w:rsidRPr="00AF1EEA">
        <w:t>3</w:t>
      </w:r>
      <w:r w:rsidRPr="00AF1EEA">
        <w:t>% против</w:t>
      </w:r>
      <w:r w:rsidR="004B740A" w:rsidRPr="00AF1EEA">
        <w:t xml:space="preserve"> среднероссийского уровня 4,</w:t>
      </w:r>
      <w:r w:rsidR="00434A4F">
        <w:t>2</w:t>
      </w:r>
      <w:r w:rsidR="004B740A" w:rsidRPr="00AF1EEA">
        <w:t>%), в топ-</w:t>
      </w:r>
      <w:r w:rsidR="00747A8C" w:rsidRPr="00AF1EEA">
        <w:t>5</w:t>
      </w:r>
      <w:r w:rsidR="004B740A" w:rsidRPr="00AF1EEA">
        <w:t xml:space="preserve"> входят республики Северо-Кавказского федерального округа</w:t>
      </w:r>
      <w:r w:rsidR="00747A8C" w:rsidRPr="00AF1EEA">
        <w:t xml:space="preserve">, </w:t>
      </w:r>
      <w:r w:rsidR="00747A8C" w:rsidRPr="00ED01A4">
        <w:rPr>
          <w:color w:val="000000"/>
        </w:rPr>
        <w:t>Республика Бурятия</w:t>
      </w:r>
      <w:r w:rsidR="00747A8C" w:rsidRPr="00AF1EEA">
        <w:rPr>
          <w:color w:val="000000"/>
        </w:rPr>
        <w:t xml:space="preserve">, </w:t>
      </w:r>
      <w:r w:rsidR="00747A8C" w:rsidRPr="00ED01A4">
        <w:rPr>
          <w:color w:val="000000"/>
        </w:rPr>
        <w:t>Республика Адыгея</w:t>
      </w:r>
    </w:p>
    <w:p w14:paraId="0615166A" w14:textId="093E1B19" w:rsidR="000F34EA" w:rsidRPr="00AF1EEA" w:rsidRDefault="000F34EA" w:rsidP="004B740A">
      <w:pPr>
        <w:jc w:val="both"/>
      </w:pPr>
    </w:p>
    <w:p w14:paraId="78E27B29" w14:textId="5F9853D5" w:rsidR="00C20651" w:rsidRDefault="000F34EA" w:rsidP="001D625D">
      <w:pPr>
        <w:jc w:val="both"/>
        <w:rPr>
          <w:b/>
        </w:rPr>
      </w:pPr>
      <w:r w:rsidRPr="00AF1EEA">
        <w:rPr>
          <w:b/>
        </w:rPr>
        <w:t>Топ-10 регионов с наибольшим уровнем просроченной задолженности</w:t>
      </w:r>
    </w:p>
    <w:p w14:paraId="71D4FFFF" w14:textId="77777777" w:rsidR="00305824" w:rsidRPr="00AF1EEA" w:rsidRDefault="00305824" w:rsidP="001D625D">
      <w:pPr>
        <w:jc w:val="both"/>
        <w:rPr>
          <w:b/>
        </w:rPr>
      </w:pPr>
    </w:p>
    <w:tbl>
      <w:tblPr>
        <w:tblW w:w="8075" w:type="dxa"/>
        <w:tblLook w:val="04A0" w:firstRow="1" w:lastRow="0" w:firstColumn="1" w:lastColumn="0" w:noHBand="0" w:noVBand="1"/>
      </w:tblPr>
      <w:tblGrid>
        <w:gridCol w:w="3681"/>
        <w:gridCol w:w="2126"/>
        <w:gridCol w:w="2268"/>
      </w:tblGrid>
      <w:tr w:rsidR="00DF7188" w:rsidRPr="00DF7188" w14:paraId="54849874" w14:textId="77777777" w:rsidTr="00DF7188">
        <w:trPr>
          <w:trHeight w:val="1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49CF1B67" w14:textId="77777777" w:rsidR="00DF7188" w:rsidRPr="00DF7188" w:rsidRDefault="00DF7188" w:rsidP="00DF7188">
            <w:pPr>
              <w:jc w:val="center"/>
              <w:rPr>
                <w:b/>
                <w:bCs/>
                <w:color w:val="000000"/>
              </w:rPr>
            </w:pPr>
            <w:r w:rsidRPr="00DF7188">
              <w:rPr>
                <w:b/>
                <w:bCs/>
                <w:color w:val="000000"/>
              </w:rPr>
              <w:t>Субъект РФ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295B2A3E" w14:textId="77777777" w:rsidR="00DF7188" w:rsidRPr="00DF7188" w:rsidRDefault="00DF7188" w:rsidP="00DF7188">
            <w:pPr>
              <w:jc w:val="center"/>
              <w:rPr>
                <w:b/>
                <w:bCs/>
                <w:color w:val="000000"/>
              </w:rPr>
            </w:pPr>
            <w:r w:rsidRPr="00DF7188">
              <w:rPr>
                <w:b/>
                <w:bCs/>
                <w:color w:val="000000"/>
              </w:rPr>
              <w:t>Средний объем просроченной задолженности, руб.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29704E9D" w14:textId="77777777" w:rsidR="00DF7188" w:rsidRPr="00DF7188" w:rsidRDefault="00DF7188" w:rsidP="00DF7188">
            <w:pPr>
              <w:jc w:val="center"/>
              <w:rPr>
                <w:b/>
                <w:bCs/>
                <w:color w:val="000000"/>
              </w:rPr>
            </w:pPr>
            <w:r w:rsidRPr="00DF7188">
              <w:rPr>
                <w:b/>
                <w:bCs/>
                <w:color w:val="000000"/>
              </w:rPr>
              <w:t>Доля просроченной задолженности, %</w:t>
            </w:r>
          </w:p>
        </w:tc>
      </w:tr>
      <w:tr w:rsidR="00DF7188" w:rsidRPr="00DF7188" w14:paraId="4F2F0BA1" w14:textId="77777777" w:rsidTr="00DF7188">
        <w:trPr>
          <w:trHeight w:val="3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758D" w14:textId="77777777" w:rsidR="00DF7188" w:rsidRPr="00DF7188" w:rsidRDefault="00DF7188" w:rsidP="00DF7188">
            <w:pPr>
              <w:rPr>
                <w:color w:val="000000"/>
              </w:rPr>
            </w:pPr>
            <w:r w:rsidRPr="00DF7188">
              <w:rPr>
                <w:color w:val="000000"/>
              </w:rPr>
              <w:t>Республика Ингушетия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9324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11725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9BBA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13%</w:t>
            </w:r>
          </w:p>
        </w:tc>
      </w:tr>
      <w:tr w:rsidR="00DF7188" w:rsidRPr="00DF7188" w14:paraId="68C09849" w14:textId="77777777" w:rsidTr="00DF7188">
        <w:trPr>
          <w:trHeight w:val="3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1041" w14:textId="77777777" w:rsidR="00DF7188" w:rsidRPr="00DF7188" w:rsidRDefault="00DF7188" w:rsidP="00DF7188">
            <w:pPr>
              <w:rPr>
                <w:color w:val="000000"/>
              </w:rPr>
            </w:pPr>
            <w:r w:rsidRPr="00DF7188">
              <w:rPr>
                <w:color w:val="000000"/>
              </w:rPr>
              <w:t>Карачаево-Черкесская Республика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759E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22749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E660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9%</w:t>
            </w:r>
          </w:p>
        </w:tc>
      </w:tr>
      <w:tr w:rsidR="00DF7188" w:rsidRPr="00DF7188" w14:paraId="24D33FC5" w14:textId="77777777" w:rsidTr="00DF7188">
        <w:trPr>
          <w:trHeight w:val="3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1730" w14:textId="77777777" w:rsidR="00DF7188" w:rsidRPr="00DF7188" w:rsidRDefault="00DF7188" w:rsidP="00DF7188">
            <w:pPr>
              <w:rPr>
                <w:color w:val="000000"/>
              </w:rPr>
            </w:pPr>
            <w:r w:rsidRPr="00DF7188">
              <w:rPr>
                <w:color w:val="000000"/>
              </w:rPr>
              <w:t>Республика Северная Осетия - Алания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7124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18005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50B6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7%</w:t>
            </w:r>
          </w:p>
        </w:tc>
      </w:tr>
      <w:tr w:rsidR="00DF7188" w:rsidRPr="00DF7188" w14:paraId="17542BFC" w14:textId="77777777" w:rsidTr="00DF7188">
        <w:trPr>
          <w:trHeight w:val="3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2089" w14:textId="77777777" w:rsidR="00DF7188" w:rsidRPr="00DF7188" w:rsidRDefault="00DF7188" w:rsidP="00DF7188">
            <w:pPr>
              <w:rPr>
                <w:color w:val="000000"/>
              </w:rPr>
            </w:pPr>
            <w:r w:rsidRPr="00DF7188">
              <w:rPr>
                <w:color w:val="000000"/>
              </w:rPr>
              <w:t>Республика Бурятия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1BE9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17841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81F4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6%</w:t>
            </w:r>
          </w:p>
        </w:tc>
      </w:tr>
      <w:tr w:rsidR="00DF7188" w:rsidRPr="00DF7188" w14:paraId="493066B2" w14:textId="77777777" w:rsidTr="00DF7188">
        <w:trPr>
          <w:trHeight w:val="3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1AD2" w14:textId="77777777" w:rsidR="00DF7188" w:rsidRPr="00DF7188" w:rsidRDefault="00DF7188" w:rsidP="00DF7188">
            <w:pPr>
              <w:rPr>
                <w:color w:val="000000"/>
              </w:rPr>
            </w:pPr>
            <w:r w:rsidRPr="00DF7188">
              <w:rPr>
                <w:color w:val="000000"/>
              </w:rPr>
              <w:t>Республика Адыгея (Адыгея)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AD94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15904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BE97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6%</w:t>
            </w:r>
          </w:p>
        </w:tc>
      </w:tr>
      <w:tr w:rsidR="00DF7188" w:rsidRPr="00DF7188" w14:paraId="07F110FB" w14:textId="77777777" w:rsidTr="00DF7188">
        <w:trPr>
          <w:trHeight w:val="3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8B36" w14:textId="77777777" w:rsidR="00DF7188" w:rsidRPr="00DF7188" w:rsidRDefault="00DF7188" w:rsidP="00DF7188">
            <w:pPr>
              <w:rPr>
                <w:color w:val="000000"/>
              </w:rPr>
            </w:pPr>
            <w:r w:rsidRPr="00DF7188">
              <w:rPr>
                <w:color w:val="000000"/>
              </w:rPr>
              <w:t>Чеченская Республика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7A93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6744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18B8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6%</w:t>
            </w:r>
          </w:p>
        </w:tc>
      </w:tr>
      <w:tr w:rsidR="00DF7188" w:rsidRPr="00DF7188" w14:paraId="28186886" w14:textId="77777777" w:rsidTr="00DF7188">
        <w:trPr>
          <w:trHeight w:val="3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2142" w14:textId="77777777" w:rsidR="00DF7188" w:rsidRPr="00DF7188" w:rsidRDefault="00DF7188" w:rsidP="00DF7188">
            <w:pPr>
              <w:rPr>
                <w:color w:val="000000"/>
              </w:rPr>
            </w:pPr>
            <w:r w:rsidRPr="00DF7188">
              <w:rPr>
                <w:color w:val="000000"/>
              </w:rPr>
              <w:t>Республика Дагестан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C409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5626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45B0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6%</w:t>
            </w:r>
          </w:p>
        </w:tc>
      </w:tr>
      <w:tr w:rsidR="00DF7188" w:rsidRPr="00DF7188" w14:paraId="4E0D69BA" w14:textId="77777777" w:rsidTr="00DF7188">
        <w:trPr>
          <w:trHeight w:val="3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B29F" w14:textId="77777777" w:rsidR="00DF7188" w:rsidRPr="00DF7188" w:rsidRDefault="00DF7188" w:rsidP="00DF7188">
            <w:pPr>
              <w:rPr>
                <w:color w:val="000000"/>
              </w:rPr>
            </w:pPr>
            <w:r w:rsidRPr="00DF7188">
              <w:rPr>
                <w:color w:val="000000"/>
              </w:rPr>
              <w:t>Кабардино-Балкарская Республика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64B6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11494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89FD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6%</w:t>
            </w:r>
          </w:p>
        </w:tc>
      </w:tr>
      <w:tr w:rsidR="00DF7188" w:rsidRPr="00DF7188" w14:paraId="0B4CC88F" w14:textId="77777777" w:rsidTr="00DF7188">
        <w:trPr>
          <w:trHeight w:val="3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F4F6" w14:textId="77777777" w:rsidR="00DF7188" w:rsidRPr="00DF7188" w:rsidRDefault="00DF7188" w:rsidP="00DF7188">
            <w:pPr>
              <w:rPr>
                <w:color w:val="000000"/>
              </w:rPr>
            </w:pPr>
            <w:r w:rsidRPr="00DF7188">
              <w:rPr>
                <w:color w:val="000000"/>
              </w:rPr>
              <w:t>Забайкальский край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6CE5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16614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337B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5%</w:t>
            </w:r>
          </w:p>
        </w:tc>
      </w:tr>
      <w:tr w:rsidR="00DF7188" w:rsidRPr="00DF7188" w14:paraId="1CDA67C8" w14:textId="77777777" w:rsidTr="00DF7188">
        <w:trPr>
          <w:trHeight w:val="3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C562" w14:textId="77777777" w:rsidR="00DF7188" w:rsidRPr="00DF7188" w:rsidRDefault="00DF7188" w:rsidP="00DF7188">
            <w:pPr>
              <w:rPr>
                <w:color w:val="000000"/>
              </w:rPr>
            </w:pPr>
            <w:r w:rsidRPr="00DF7188">
              <w:rPr>
                <w:color w:val="000000"/>
              </w:rPr>
              <w:t>Краснодарский край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F341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15295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D65C" w14:textId="77777777" w:rsidR="00DF7188" w:rsidRPr="00DF7188" w:rsidRDefault="00DF7188" w:rsidP="00DF7188">
            <w:pPr>
              <w:jc w:val="right"/>
              <w:rPr>
                <w:color w:val="000000"/>
              </w:rPr>
            </w:pPr>
            <w:r w:rsidRPr="00DF7188">
              <w:rPr>
                <w:color w:val="000000"/>
              </w:rPr>
              <w:t>5%</w:t>
            </w:r>
          </w:p>
        </w:tc>
      </w:tr>
    </w:tbl>
    <w:p w14:paraId="6AB85346" w14:textId="77777777" w:rsidR="00D520E8" w:rsidRPr="00AF1EEA" w:rsidRDefault="00D520E8" w:rsidP="001D625D">
      <w:pPr>
        <w:jc w:val="both"/>
      </w:pPr>
    </w:p>
    <w:p w14:paraId="400628A0" w14:textId="6632121A" w:rsidR="001D625D" w:rsidRDefault="001D625D" w:rsidP="001D625D">
      <w:pPr>
        <w:jc w:val="both"/>
      </w:pPr>
      <w:r w:rsidRPr="00AF1EEA">
        <w:t>* Данные Банка России, расчеты проекта ОНФ «За права заемщиков»</w:t>
      </w:r>
    </w:p>
    <w:p w14:paraId="29ED5B9B" w14:textId="77777777" w:rsidR="00D63B36" w:rsidRPr="00AF1EEA" w:rsidRDefault="00D63B36" w:rsidP="001D625D">
      <w:pPr>
        <w:jc w:val="both"/>
      </w:pPr>
    </w:p>
    <w:p w14:paraId="47514BC8" w14:textId="3023C35A" w:rsidR="008C2CD1" w:rsidRDefault="00C64380" w:rsidP="00A94692">
      <w:r w:rsidRPr="00AF1EEA">
        <w:t>Банковские</w:t>
      </w:r>
      <w:r w:rsidR="00B05EAA" w:rsidRPr="00AF1EEA">
        <w:t xml:space="preserve"> депозит</w:t>
      </w:r>
      <w:r w:rsidRPr="00AF1EEA">
        <w:t xml:space="preserve">ы </w:t>
      </w:r>
      <w:r w:rsidR="00B05EAA" w:rsidRPr="00AF1EEA">
        <w:t xml:space="preserve">на 1 </w:t>
      </w:r>
      <w:r w:rsidR="00A94692">
        <w:t>января</w:t>
      </w:r>
      <w:r w:rsidR="00B05EAA" w:rsidRPr="00AF1EEA">
        <w:t xml:space="preserve"> 20</w:t>
      </w:r>
      <w:r w:rsidR="00A94692">
        <w:t>20</w:t>
      </w:r>
      <w:r w:rsidR="00B05EAA" w:rsidRPr="00AF1EEA">
        <w:t xml:space="preserve"> г. </w:t>
      </w:r>
      <w:r w:rsidRPr="00AF1EEA">
        <w:t xml:space="preserve">составили </w:t>
      </w:r>
      <w:r w:rsidR="00A94692" w:rsidRPr="00A94692">
        <w:rPr>
          <w:rFonts w:eastAsiaTheme="minorHAnsi"/>
          <w:lang w:eastAsia="en-US"/>
        </w:rPr>
        <w:t>30</w:t>
      </w:r>
      <w:r w:rsidR="00A94692" w:rsidRPr="00A94692">
        <w:rPr>
          <w:rFonts w:eastAsiaTheme="minorHAnsi"/>
          <w:lang w:eastAsia="en-US"/>
        </w:rPr>
        <w:t xml:space="preserve">, </w:t>
      </w:r>
      <w:r w:rsidR="00A94692">
        <w:t>7</w:t>
      </w:r>
      <w:r w:rsidR="00A94692" w:rsidRPr="00A94692">
        <w:rPr>
          <w:rFonts w:eastAsiaTheme="minorHAnsi"/>
          <w:lang w:eastAsia="en-US"/>
        </w:rPr>
        <w:t xml:space="preserve"> </w:t>
      </w:r>
      <w:r w:rsidRPr="00AF1EEA">
        <w:t xml:space="preserve">трлн руб., </w:t>
      </w:r>
      <w:r w:rsidR="00A94692">
        <w:t>увеличив</w:t>
      </w:r>
      <w:r w:rsidRPr="00AF1EEA">
        <w:t xml:space="preserve"> объем на </w:t>
      </w:r>
      <w:r w:rsidR="00A94692">
        <w:t>8</w:t>
      </w:r>
      <w:r w:rsidRPr="00AF1EEA">
        <w:t xml:space="preserve">% по сравнению со </w:t>
      </w:r>
      <w:r w:rsidR="00A94692">
        <w:t>первым</w:t>
      </w:r>
      <w:r w:rsidRPr="00AF1EEA">
        <w:t xml:space="preserve"> кварталом 2019 г. </w:t>
      </w:r>
      <w:r w:rsidR="00A94692" w:rsidRPr="00A94692">
        <w:rPr>
          <w:color w:val="272727"/>
          <w:sz w:val="26"/>
          <w:szCs w:val="26"/>
          <w:shd w:val="clear" w:color="auto" w:fill="FFFFFF"/>
        </w:rPr>
        <w:t xml:space="preserve">28,3 трлн </w:t>
      </w:r>
      <w:proofErr w:type="spellStart"/>
      <w:r w:rsidR="00A94692" w:rsidRPr="00A94692">
        <w:rPr>
          <w:color w:val="272727"/>
          <w:sz w:val="26"/>
          <w:szCs w:val="26"/>
          <w:shd w:val="clear" w:color="auto" w:fill="FFFFFF"/>
        </w:rPr>
        <w:t>руб</w:t>
      </w:r>
      <w:proofErr w:type="spellEnd"/>
      <w:r w:rsidR="00A94692">
        <w:t xml:space="preserve"> </w:t>
      </w:r>
      <w:r w:rsidR="00B05EAA" w:rsidRPr="00AF1EEA">
        <w:t>трлн руб.</w:t>
      </w:r>
      <w:r w:rsidR="007B6217" w:rsidRPr="00AF1EEA">
        <w:t xml:space="preserve"> </w:t>
      </w:r>
      <w:r w:rsidRPr="00AF1EEA">
        <w:t xml:space="preserve"> Из </w:t>
      </w:r>
      <w:r w:rsidR="00B05EAA" w:rsidRPr="00AF1EEA">
        <w:t xml:space="preserve">которых </w:t>
      </w:r>
      <w:r w:rsidR="003E605D">
        <w:t>80</w:t>
      </w:r>
      <w:r w:rsidR="00B05EAA" w:rsidRPr="00AF1EEA">
        <w:t xml:space="preserve">% приходятся на вклады в рублях, </w:t>
      </w:r>
      <w:r w:rsidR="003E605D">
        <w:t>20</w:t>
      </w:r>
      <w:r w:rsidR="00B05EAA" w:rsidRPr="00AF1EEA">
        <w:t>% — в иностранной валюте.</w:t>
      </w:r>
      <w:r w:rsidR="00016E76" w:rsidRPr="00AF1EEA">
        <w:t xml:space="preserve"> </w:t>
      </w:r>
    </w:p>
    <w:p w14:paraId="3FA4B84F" w14:textId="77777777" w:rsidR="00E63B24" w:rsidRPr="00A94692" w:rsidRDefault="00E63B24" w:rsidP="00A94692"/>
    <w:p w14:paraId="2F1C2D42" w14:textId="2C8965D8" w:rsidR="000268BC" w:rsidRDefault="00DB2EC0" w:rsidP="008C2CD1">
      <w:pPr>
        <w:jc w:val="both"/>
      </w:pPr>
      <w:r w:rsidRPr="00AF1EEA">
        <w:t xml:space="preserve">По </w:t>
      </w:r>
      <w:r w:rsidR="006772CF" w:rsidRPr="00AF1EEA">
        <w:t xml:space="preserve">уровню сбережений, рассчитанному как отношение среднего депозита домохозяйства к среднему доходу, </w:t>
      </w:r>
      <w:r w:rsidRPr="00AF1EEA">
        <w:t>лидируют домохозяйства Москвы (</w:t>
      </w:r>
      <w:r w:rsidR="00DE2BC6">
        <w:t>86</w:t>
      </w:r>
      <w:r w:rsidRPr="00AF1EEA">
        <w:t>%) и Санкт-Петербурга (</w:t>
      </w:r>
      <w:r w:rsidR="00DE2BC6">
        <w:t>87</w:t>
      </w:r>
      <w:r w:rsidRPr="00AF1EEA">
        <w:t>%), а также Калининградской</w:t>
      </w:r>
      <w:r w:rsidR="00E8642F" w:rsidRPr="00AF1EEA">
        <w:t xml:space="preserve">, </w:t>
      </w:r>
      <w:r w:rsidRPr="00AF1EEA">
        <w:t>Самарской</w:t>
      </w:r>
      <w:r w:rsidR="00E8642F" w:rsidRPr="00AF1EEA">
        <w:t>, Ярославской, Мурманской, Владимирской</w:t>
      </w:r>
      <w:r w:rsidRPr="00AF1EEA">
        <w:t xml:space="preserve"> областей (выше 50%).</w:t>
      </w:r>
    </w:p>
    <w:p w14:paraId="2E14E82F" w14:textId="731C2F4F" w:rsidR="00723A04" w:rsidRDefault="00723A04" w:rsidP="008C2CD1">
      <w:pPr>
        <w:jc w:val="both"/>
      </w:pPr>
    </w:p>
    <w:p w14:paraId="1B4FDA8B" w14:textId="0EDF7FEB" w:rsidR="00723A04" w:rsidRPr="00606964" w:rsidRDefault="00723A04" w:rsidP="008C2CD1">
      <w:pPr>
        <w:jc w:val="both"/>
        <w:rPr>
          <w:b/>
        </w:rPr>
      </w:pPr>
      <w:r w:rsidRPr="00606964">
        <w:rPr>
          <w:b/>
        </w:rPr>
        <w:t xml:space="preserve">Рассмотрим тенденции </w:t>
      </w:r>
      <w:r w:rsidR="00020C82" w:rsidRPr="00606964">
        <w:rPr>
          <w:b/>
        </w:rPr>
        <w:t xml:space="preserve">кредитования </w:t>
      </w:r>
      <w:r w:rsidR="00606964" w:rsidRPr="00606964">
        <w:rPr>
          <w:b/>
        </w:rPr>
        <w:t>2019 года в разных категориях кредитных продуктов, за основу взяты данные НБКИ.</w:t>
      </w:r>
    </w:p>
    <w:p w14:paraId="2BBDEC6C" w14:textId="382B369C" w:rsidR="00E63B24" w:rsidRDefault="00E63B24" w:rsidP="008C2CD1">
      <w:pPr>
        <w:jc w:val="both"/>
      </w:pPr>
    </w:p>
    <w:p w14:paraId="6CDACB3F" w14:textId="38CBA948" w:rsidR="00D02359" w:rsidRPr="00D02359" w:rsidRDefault="00D02359" w:rsidP="008C2CD1">
      <w:pPr>
        <w:jc w:val="both"/>
        <w:rPr>
          <w:b/>
        </w:rPr>
      </w:pPr>
      <w:r w:rsidRPr="00D02359">
        <w:rPr>
          <w:b/>
        </w:rPr>
        <w:t>Автокредитование.</w:t>
      </w:r>
    </w:p>
    <w:p w14:paraId="7829F450" w14:textId="77777777" w:rsidR="00D02359" w:rsidRDefault="00D02359" w:rsidP="008C2CD1">
      <w:pPr>
        <w:jc w:val="both"/>
      </w:pPr>
    </w:p>
    <w:p w14:paraId="5DB68243" w14:textId="43D05733" w:rsidR="00A32A32" w:rsidRDefault="00A32A32" w:rsidP="00A32A32">
      <w:pPr>
        <w:jc w:val="both"/>
      </w:pPr>
      <w:r w:rsidRPr="00A32A32">
        <w:t xml:space="preserve">По данным 4 000 кредиторов, передающих сведения в Национальное бюро кредитных историй (НБКИ), в 2019 году средний размер выданных автокредитов (на новые </w:t>
      </w:r>
      <w:r w:rsidRPr="00A32A32">
        <w:lastRenderedPageBreak/>
        <w:t>автомобили и автомобили с пробегом) составил 787,2 тыс. руб. По сравнению с 2018 годом данный показатель увеличился на 6,4% (в 2018 году - 739,8 тыс. руб.)</w:t>
      </w:r>
    </w:p>
    <w:p w14:paraId="2AAE29C7" w14:textId="7685807F" w:rsidR="006555E7" w:rsidRDefault="006555E7" w:rsidP="00A32A32">
      <w:pPr>
        <w:jc w:val="both"/>
      </w:pPr>
    </w:p>
    <w:p w14:paraId="7A9F73BB" w14:textId="0AD3A6D6" w:rsidR="006555E7" w:rsidRPr="006555E7" w:rsidRDefault="006555E7" w:rsidP="00A32A32">
      <w:pPr>
        <w:jc w:val="both"/>
        <w:rPr>
          <w:b/>
        </w:rPr>
      </w:pPr>
      <w:r w:rsidRPr="006555E7">
        <w:rPr>
          <w:b/>
        </w:rPr>
        <w:t>Динамика изменения автокредита 2018-2019</w:t>
      </w:r>
    </w:p>
    <w:p w14:paraId="77ED58BE" w14:textId="77777777" w:rsidR="00E63B24" w:rsidRDefault="00E63B24" w:rsidP="00A32A32">
      <w:pPr>
        <w:jc w:val="both"/>
      </w:pPr>
    </w:p>
    <w:tbl>
      <w:tblPr>
        <w:tblW w:w="0" w:type="auto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2363"/>
        <w:gridCol w:w="1347"/>
        <w:gridCol w:w="2363"/>
        <w:gridCol w:w="1662"/>
      </w:tblGrid>
      <w:tr w:rsidR="00A32A32" w:rsidRPr="00A32A32" w14:paraId="6250753C" w14:textId="77777777" w:rsidTr="00A32A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8C7503" w14:textId="77777777" w:rsidR="00A32A32" w:rsidRPr="00A32A32" w:rsidRDefault="00A32A32" w:rsidP="00A32A32">
            <w:pPr>
              <w:jc w:val="center"/>
              <w:rPr>
                <w:b/>
                <w:bCs/>
                <w:color w:val="000000"/>
              </w:rPr>
            </w:pPr>
            <w:r w:rsidRPr="00A32A32">
              <w:rPr>
                <w:b/>
                <w:bCs/>
                <w:color w:val="000000"/>
              </w:rPr>
              <w:t>  Период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71C070" w14:textId="77777777" w:rsidR="00A32A32" w:rsidRPr="00A32A32" w:rsidRDefault="00A32A32" w:rsidP="00A32A32">
            <w:pPr>
              <w:jc w:val="center"/>
              <w:rPr>
                <w:b/>
                <w:bCs/>
                <w:color w:val="000000"/>
              </w:rPr>
            </w:pPr>
            <w:r w:rsidRPr="00A32A32">
              <w:rPr>
                <w:b/>
                <w:bCs/>
                <w:color w:val="000000"/>
              </w:rPr>
              <w:t>  Средний размер   </w:t>
            </w:r>
            <w:r w:rsidRPr="00A32A32">
              <w:rPr>
                <w:b/>
                <w:bCs/>
                <w:color w:val="000000"/>
              </w:rPr>
              <w:br/>
              <w:t>выданных</w:t>
            </w:r>
            <w:r w:rsidRPr="00A32A32">
              <w:rPr>
                <w:b/>
                <w:bCs/>
                <w:color w:val="000000"/>
              </w:rPr>
              <w:br/>
              <w:t>автокредитов,</w:t>
            </w:r>
            <w:r w:rsidRPr="00A32A32">
              <w:rPr>
                <w:b/>
                <w:bCs/>
                <w:color w:val="000000"/>
              </w:rPr>
              <w:br/>
              <w:t>тыс.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F08C69" w14:textId="77777777" w:rsidR="00A32A32" w:rsidRPr="00A32A32" w:rsidRDefault="00A32A32" w:rsidP="00A32A32">
            <w:pPr>
              <w:jc w:val="center"/>
              <w:rPr>
                <w:b/>
                <w:bCs/>
                <w:color w:val="000000"/>
              </w:rPr>
            </w:pPr>
            <w:r w:rsidRPr="00A32A32">
              <w:rPr>
                <w:b/>
                <w:bCs/>
                <w:color w:val="000000"/>
              </w:rPr>
              <w:t>  Период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477E92" w14:textId="77777777" w:rsidR="00A32A32" w:rsidRPr="00A32A32" w:rsidRDefault="00A32A32" w:rsidP="00A32A32">
            <w:pPr>
              <w:jc w:val="center"/>
              <w:rPr>
                <w:b/>
                <w:bCs/>
                <w:color w:val="000000"/>
              </w:rPr>
            </w:pPr>
            <w:r w:rsidRPr="00A32A32">
              <w:rPr>
                <w:b/>
                <w:bCs/>
                <w:color w:val="000000"/>
              </w:rPr>
              <w:t>  Средний размер   </w:t>
            </w:r>
            <w:r w:rsidRPr="00A32A32">
              <w:rPr>
                <w:b/>
                <w:bCs/>
                <w:color w:val="000000"/>
              </w:rPr>
              <w:br/>
              <w:t>выданных</w:t>
            </w:r>
            <w:r w:rsidRPr="00A32A32">
              <w:rPr>
                <w:b/>
                <w:bCs/>
                <w:color w:val="000000"/>
              </w:rPr>
              <w:br/>
              <w:t>автокредитов,</w:t>
            </w:r>
            <w:r w:rsidRPr="00A32A32">
              <w:rPr>
                <w:b/>
                <w:bCs/>
                <w:color w:val="000000"/>
              </w:rPr>
              <w:br/>
              <w:t>тыс.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CF8C92" w14:textId="77777777" w:rsidR="00A32A32" w:rsidRPr="00A32A32" w:rsidRDefault="00A32A32" w:rsidP="00A32A32">
            <w:pPr>
              <w:jc w:val="center"/>
              <w:rPr>
                <w:b/>
                <w:bCs/>
                <w:color w:val="000000"/>
              </w:rPr>
            </w:pPr>
            <w:r w:rsidRPr="00A32A32">
              <w:rPr>
                <w:b/>
                <w:bCs/>
                <w:color w:val="000000"/>
              </w:rPr>
              <w:t>  Динамика  </w:t>
            </w:r>
          </w:p>
        </w:tc>
      </w:tr>
      <w:tr w:rsidR="00A32A32" w:rsidRPr="00A32A32" w14:paraId="0FC88EDF" w14:textId="77777777" w:rsidTr="00A32A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AE617A" w14:textId="77777777" w:rsidR="00A32A32" w:rsidRPr="00A32A32" w:rsidRDefault="00A32A32" w:rsidP="00A32A32">
            <w:pPr>
              <w:jc w:val="center"/>
              <w:rPr>
                <w:bCs/>
                <w:color w:val="000000"/>
              </w:rPr>
            </w:pPr>
            <w:r w:rsidRPr="00A32A32">
              <w:rPr>
                <w:bCs/>
                <w:color w:val="000000"/>
              </w:rPr>
              <w:t>2018 год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DE67A1" w14:textId="77777777" w:rsidR="00A32A32" w:rsidRPr="00A32A32" w:rsidRDefault="00A32A32" w:rsidP="00A32A32">
            <w:pPr>
              <w:jc w:val="center"/>
              <w:rPr>
                <w:bCs/>
                <w:color w:val="000000"/>
              </w:rPr>
            </w:pPr>
            <w:r w:rsidRPr="00A32A32">
              <w:rPr>
                <w:bCs/>
                <w:color w:val="000000"/>
              </w:rPr>
              <w:t>739,8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3A4AF4" w14:textId="77777777" w:rsidR="00A32A32" w:rsidRPr="00A32A32" w:rsidRDefault="00A32A32" w:rsidP="00A32A32">
            <w:pPr>
              <w:jc w:val="center"/>
              <w:rPr>
                <w:bCs/>
                <w:color w:val="000000"/>
              </w:rPr>
            </w:pPr>
            <w:r w:rsidRPr="00A32A32">
              <w:rPr>
                <w:bCs/>
                <w:color w:val="000000"/>
              </w:rPr>
              <w:t>2019 год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5A46B7" w14:textId="77777777" w:rsidR="00A32A32" w:rsidRPr="00A32A32" w:rsidRDefault="00A32A32" w:rsidP="00A32A32">
            <w:pPr>
              <w:jc w:val="center"/>
              <w:rPr>
                <w:bCs/>
                <w:color w:val="000000"/>
              </w:rPr>
            </w:pPr>
            <w:r w:rsidRPr="00A32A32">
              <w:rPr>
                <w:bCs/>
                <w:color w:val="000000"/>
              </w:rPr>
              <w:t>787,2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578650" w14:textId="77777777" w:rsidR="00A32A32" w:rsidRPr="00A32A32" w:rsidRDefault="00A32A32" w:rsidP="00A32A32">
            <w:pPr>
              <w:jc w:val="center"/>
              <w:rPr>
                <w:bCs/>
                <w:color w:val="000000"/>
              </w:rPr>
            </w:pPr>
            <w:r w:rsidRPr="00A32A32">
              <w:rPr>
                <w:bCs/>
                <w:color w:val="000000"/>
              </w:rPr>
              <w:t>6,4%</w:t>
            </w:r>
          </w:p>
        </w:tc>
      </w:tr>
    </w:tbl>
    <w:p w14:paraId="35B6222B" w14:textId="5CF3AE85" w:rsidR="00A32A32" w:rsidRDefault="00A32A32" w:rsidP="00A32A32">
      <w:pPr>
        <w:spacing w:after="160" w:line="259" w:lineRule="auto"/>
        <w:jc w:val="both"/>
        <w:rPr>
          <w:rFonts w:eastAsiaTheme="minorHAnsi"/>
          <w:lang w:eastAsia="en-US"/>
        </w:rPr>
      </w:pPr>
    </w:p>
    <w:p w14:paraId="0B7B16A9" w14:textId="6AD2E486" w:rsidR="00D63B36" w:rsidRPr="00A32A32" w:rsidRDefault="00D63B36" w:rsidP="00A32A32">
      <w:pPr>
        <w:spacing w:after="160" w:line="259" w:lineRule="auto"/>
        <w:jc w:val="both"/>
        <w:rPr>
          <w:rFonts w:eastAsiaTheme="minorHAnsi"/>
          <w:lang w:eastAsia="en-US"/>
        </w:rPr>
      </w:pPr>
      <w:r w:rsidRPr="00AF1EEA">
        <w:t xml:space="preserve">* Данные </w:t>
      </w:r>
      <w:r>
        <w:t>НБКИ</w:t>
      </w:r>
    </w:p>
    <w:p w14:paraId="5B37BA19" w14:textId="78784780" w:rsidR="00A32A32" w:rsidRPr="00A32A32" w:rsidRDefault="00A32A32" w:rsidP="00A32A32">
      <w:pPr>
        <w:spacing w:after="160" w:line="259" w:lineRule="auto"/>
        <w:jc w:val="both"/>
        <w:rPr>
          <w:rFonts w:eastAsiaTheme="minorHAnsi"/>
          <w:lang w:eastAsia="en-US"/>
        </w:rPr>
      </w:pPr>
      <w:r w:rsidRPr="00A32A32">
        <w:rPr>
          <w:rFonts w:eastAsiaTheme="minorHAnsi"/>
          <w:lang w:eastAsia="en-US"/>
        </w:rPr>
        <w:t>В 2019 году самый большой средний размер выданных автокредитов в регионах РФ был отмечен в Москве (1 145,6 тыс. руб.), Московской области (980,9 тыс. руб.), Санкт-Петербурге (962,2 тыс. руб.), Краснодарском крае (891,0 тыс. руб.), а также в Ханты-Мансийском АО (881,5 тыс. руб.)</w:t>
      </w:r>
    </w:p>
    <w:p w14:paraId="03EB447A" w14:textId="772D2071" w:rsidR="00A32A32" w:rsidRDefault="00A32A32" w:rsidP="00A32A32">
      <w:pPr>
        <w:jc w:val="both"/>
        <w:rPr>
          <w:rFonts w:eastAsiaTheme="minorHAnsi"/>
          <w:lang w:eastAsia="en-US"/>
        </w:rPr>
      </w:pPr>
      <w:r w:rsidRPr="00A32A32">
        <w:rPr>
          <w:rFonts w:eastAsiaTheme="minorHAnsi"/>
          <w:lang w:eastAsia="en-US"/>
        </w:rPr>
        <w:t>При этом самую серьезную динамику роста среднего размера выданных автокредитов (среди 30 регионов РФ – лидеров по объемам автокредитования) в 2019 году продемонстрировали Республика Башкортостан (+10,9%), Ставропольский край (+10,5%), Оренбургская область (+10,2%), Санкт-Петербург (+9,8%), Рязанская область (+9,7%) и Москва (+9,5%). Единственными регионами из топ-30 по объемам автокредитования, в которых средний размер кредита на покупку авто снизился, стали Кемеровская (-31,0%) и Новосибирская (-2,3%) области </w:t>
      </w:r>
    </w:p>
    <w:p w14:paraId="194299D2" w14:textId="77777777" w:rsidR="00D72E07" w:rsidRDefault="00D72E07" w:rsidP="00A32A32">
      <w:pPr>
        <w:jc w:val="both"/>
      </w:pPr>
    </w:p>
    <w:p w14:paraId="1EC11A76" w14:textId="5DE6BAF1" w:rsidR="00A32A32" w:rsidRPr="00A32A32" w:rsidRDefault="00A32A32" w:rsidP="00A32A32">
      <w:pPr>
        <w:spacing w:after="160" w:line="259" w:lineRule="auto"/>
        <w:jc w:val="both"/>
        <w:rPr>
          <w:rFonts w:eastAsiaTheme="minorHAnsi"/>
          <w:b/>
          <w:lang w:eastAsia="en-US"/>
        </w:rPr>
      </w:pPr>
      <w:r w:rsidRPr="00AF1EEA">
        <w:rPr>
          <w:b/>
        </w:rPr>
        <w:t xml:space="preserve">Топ-10 регионов </w:t>
      </w:r>
      <w:r w:rsidR="00E63B24">
        <w:rPr>
          <w:b/>
        </w:rPr>
        <w:t xml:space="preserve">по динамике </w:t>
      </w:r>
      <w:r w:rsidR="00E63B24" w:rsidRPr="00A32A32">
        <w:rPr>
          <w:rFonts w:eastAsiaTheme="minorHAnsi"/>
          <w:b/>
          <w:lang w:eastAsia="en-US"/>
        </w:rPr>
        <w:t>роста среднего размера выданных автокредитов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3288"/>
        <w:gridCol w:w="1985"/>
        <w:gridCol w:w="1858"/>
        <w:gridCol w:w="2214"/>
      </w:tblGrid>
      <w:tr w:rsidR="00A32A32" w:rsidRPr="00A32A32" w14:paraId="6A83DBB5" w14:textId="77777777" w:rsidTr="006B1A60">
        <w:trPr>
          <w:trHeight w:val="460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29EA7894" w14:textId="77777777" w:rsidR="00A32A32" w:rsidRPr="00A32A32" w:rsidRDefault="00A32A32" w:rsidP="00A32A32">
            <w:pPr>
              <w:jc w:val="center"/>
              <w:rPr>
                <w:b/>
                <w:bCs/>
                <w:color w:val="000000"/>
              </w:rPr>
            </w:pPr>
            <w:r w:rsidRPr="00A32A32">
              <w:rPr>
                <w:b/>
                <w:bCs/>
                <w:color w:val="000000"/>
              </w:rPr>
              <w:t>По регионам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23209198" w14:textId="77777777" w:rsidR="00A32A32" w:rsidRPr="00A32A32" w:rsidRDefault="00A32A32" w:rsidP="00A32A32">
            <w:pPr>
              <w:jc w:val="center"/>
              <w:rPr>
                <w:b/>
                <w:bCs/>
                <w:color w:val="000000"/>
              </w:rPr>
            </w:pPr>
            <w:r w:rsidRPr="00A32A32">
              <w:rPr>
                <w:b/>
                <w:bCs/>
                <w:color w:val="000000"/>
              </w:rPr>
              <w:t xml:space="preserve">2018 </w:t>
            </w:r>
            <w:proofErr w:type="gramStart"/>
            <w:r w:rsidRPr="00A32A32">
              <w:rPr>
                <w:b/>
                <w:bCs/>
                <w:color w:val="000000"/>
              </w:rPr>
              <w:t>год,  руб.</w:t>
            </w:r>
            <w:proofErr w:type="gramEnd"/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337E472A" w14:textId="77777777" w:rsidR="00A32A32" w:rsidRPr="00A32A32" w:rsidRDefault="00A32A32" w:rsidP="00A32A32">
            <w:pPr>
              <w:jc w:val="center"/>
              <w:rPr>
                <w:b/>
                <w:bCs/>
                <w:color w:val="000000"/>
              </w:rPr>
            </w:pPr>
            <w:r w:rsidRPr="00A32A32">
              <w:rPr>
                <w:b/>
                <w:bCs/>
                <w:color w:val="000000"/>
              </w:rPr>
              <w:t xml:space="preserve">2019 </w:t>
            </w:r>
            <w:proofErr w:type="gramStart"/>
            <w:r w:rsidRPr="00A32A32">
              <w:rPr>
                <w:b/>
                <w:bCs/>
                <w:color w:val="000000"/>
              </w:rPr>
              <w:t>год,  руб.</w:t>
            </w:r>
            <w:proofErr w:type="gramEnd"/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0E7CF306" w14:textId="77777777" w:rsidR="00A32A32" w:rsidRPr="00A32A32" w:rsidRDefault="00A32A32" w:rsidP="00A32A32">
            <w:pPr>
              <w:jc w:val="center"/>
              <w:rPr>
                <w:b/>
                <w:bCs/>
                <w:color w:val="000000"/>
              </w:rPr>
            </w:pPr>
            <w:r w:rsidRPr="00A32A32">
              <w:rPr>
                <w:b/>
                <w:bCs/>
                <w:color w:val="000000"/>
              </w:rPr>
              <w:t>Изменение, в %</w:t>
            </w:r>
          </w:p>
        </w:tc>
      </w:tr>
      <w:tr w:rsidR="006B1A60" w:rsidRPr="00A32A32" w14:paraId="024110B7" w14:textId="77777777" w:rsidTr="006B1A60">
        <w:trPr>
          <w:trHeight w:val="46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A73D" w14:textId="77777777" w:rsidR="006B1A60" w:rsidRPr="00A32A32" w:rsidRDefault="006B1A60" w:rsidP="006B1A60">
            <w:pPr>
              <w:rPr>
                <w:color w:val="191919"/>
              </w:rPr>
            </w:pPr>
            <w:r w:rsidRPr="00A32A32">
              <w:rPr>
                <w:color w:val="191919"/>
              </w:rPr>
              <w:t>г. Москва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ABFF" w14:textId="77777777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A32A32">
              <w:rPr>
                <w:color w:val="191919"/>
              </w:rPr>
              <w:t>1 046 594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3180" w14:textId="77777777" w:rsidR="006B1A60" w:rsidRPr="00A32A32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A32A32">
              <w:rPr>
                <w:b/>
                <w:bCs/>
                <w:color w:val="191919"/>
              </w:rPr>
              <w:t>1 145 571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C981" w14:textId="132B5035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10%</w:t>
            </w:r>
          </w:p>
        </w:tc>
      </w:tr>
      <w:tr w:rsidR="006B1A60" w:rsidRPr="00A32A32" w14:paraId="59EDF1C5" w14:textId="77777777" w:rsidTr="006B1A60">
        <w:trPr>
          <w:trHeight w:val="46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EE76" w14:textId="77777777" w:rsidR="006B1A60" w:rsidRPr="00A32A32" w:rsidRDefault="006B1A60" w:rsidP="006B1A60">
            <w:pPr>
              <w:rPr>
                <w:color w:val="191919"/>
              </w:rPr>
            </w:pPr>
            <w:r w:rsidRPr="00A32A32">
              <w:rPr>
                <w:color w:val="191919"/>
              </w:rPr>
              <w:t>Московская область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DE44" w14:textId="77777777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A32A32">
              <w:rPr>
                <w:color w:val="191919"/>
              </w:rPr>
              <w:t>897 568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A66D" w14:textId="77777777" w:rsidR="006B1A60" w:rsidRPr="00A32A32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A32A32">
              <w:rPr>
                <w:b/>
                <w:bCs/>
                <w:color w:val="191919"/>
              </w:rPr>
              <w:t>980 854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87A0" w14:textId="39A1F524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9%</w:t>
            </w:r>
          </w:p>
        </w:tc>
      </w:tr>
      <w:tr w:rsidR="006B1A60" w:rsidRPr="00A32A32" w14:paraId="0D765D31" w14:textId="77777777" w:rsidTr="006B1A60">
        <w:trPr>
          <w:trHeight w:val="46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FAF2" w14:textId="77777777" w:rsidR="006B1A60" w:rsidRPr="00A32A32" w:rsidRDefault="006B1A60" w:rsidP="006B1A60">
            <w:pPr>
              <w:rPr>
                <w:color w:val="191919"/>
              </w:rPr>
            </w:pPr>
            <w:r w:rsidRPr="00A32A32">
              <w:rPr>
                <w:color w:val="191919"/>
              </w:rPr>
              <w:t>г. Санкт-Петербург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CA5D" w14:textId="77777777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A32A32">
              <w:rPr>
                <w:color w:val="191919"/>
              </w:rPr>
              <w:t>876 006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3153" w14:textId="77777777" w:rsidR="006B1A60" w:rsidRPr="00A32A32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A32A32">
              <w:rPr>
                <w:b/>
                <w:bCs/>
                <w:color w:val="191919"/>
              </w:rPr>
              <w:t>962 250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E0F8" w14:textId="40DB8564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10%</w:t>
            </w:r>
          </w:p>
        </w:tc>
      </w:tr>
      <w:tr w:rsidR="006B1A60" w:rsidRPr="00A32A32" w14:paraId="6CD877AF" w14:textId="77777777" w:rsidTr="006B1A60">
        <w:trPr>
          <w:trHeight w:val="46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E523" w14:textId="77777777" w:rsidR="006B1A60" w:rsidRPr="00A32A32" w:rsidRDefault="006B1A60" w:rsidP="006B1A60">
            <w:pPr>
              <w:rPr>
                <w:color w:val="191919"/>
              </w:rPr>
            </w:pPr>
            <w:r w:rsidRPr="00A32A32">
              <w:rPr>
                <w:color w:val="191919"/>
              </w:rPr>
              <w:t>Краснодарский край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3C5E" w14:textId="77777777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A32A32">
              <w:rPr>
                <w:color w:val="191919"/>
              </w:rPr>
              <w:t>823 466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B506" w14:textId="77777777" w:rsidR="006B1A60" w:rsidRPr="00A32A32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A32A32">
              <w:rPr>
                <w:b/>
                <w:bCs/>
                <w:color w:val="191919"/>
              </w:rPr>
              <w:t>891 047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569C" w14:textId="4EBFAB72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8%</w:t>
            </w:r>
          </w:p>
        </w:tc>
      </w:tr>
      <w:tr w:rsidR="006B1A60" w:rsidRPr="00A32A32" w14:paraId="200991C5" w14:textId="77777777" w:rsidTr="006B1A60">
        <w:trPr>
          <w:trHeight w:val="46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7826" w14:textId="77777777" w:rsidR="006B1A60" w:rsidRPr="00A32A32" w:rsidRDefault="006B1A60" w:rsidP="006B1A60">
            <w:pPr>
              <w:rPr>
                <w:color w:val="191919"/>
              </w:rPr>
            </w:pPr>
            <w:r w:rsidRPr="00A32A32">
              <w:rPr>
                <w:color w:val="191919"/>
              </w:rPr>
              <w:t>Ханты-Мансийский АО - Югра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2225" w14:textId="77777777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A32A32">
              <w:rPr>
                <w:color w:val="191919"/>
              </w:rPr>
              <w:t>819 935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C533" w14:textId="77777777" w:rsidR="006B1A60" w:rsidRPr="00A32A32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A32A32">
              <w:rPr>
                <w:b/>
                <w:bCs/>
                <w:color w:val="191919"/>
              </w:rPr>
              <w:t>881 527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149C" w14:textId="54C47BE6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8%</w:t>
            </w:r>
          </w:p>
        </w:tc>
      </w:tr>
      <w:tr w:rsidR="006B1A60" w:rsidRPr="00A32A32" w14:paraId="6DC1733C" w14:textId="77777777" w:rsidTr="006B1A60">
        <w:trPr>
          <w:trHeight w:val="46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F807" w14:textId="77777777" w:rsidR="006B1A60" w:rsidRPr="00A32A32" w:rsidRDefault="006B1A60" w:rsidP="006B1A60">
            <w:pPr>
              <w:rPr>
                <w:color w:val="191919"/>
              </w:rPr>
            </w:pPr>
            <w:r w:rsidRPr="00A32A32">
              <w:rPr>
                <w:color w:val="191919"/>
              </w:rPr>
              <w:t>Ленинградская область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E6A2" w14:textId="77777777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A32A32">
              <w:rPr>
                <w:color w:val="191919"/>
              </w:rPr>
              <w:t>791 626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9046" w14:textId="77777777" w:rsidR="006B1A60" w:rsidRPr="00A32A32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A32A32">
              <w:rPr>
                <w:b/>
                <w:bCs/>
                <w:color w:val="191919"/>
              </w:rPr>
              <w:t>865 506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827B" w14:textId="66EC8BC1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9%</w:t>
            </w:r>
          </w:p>
        </w:tc>
      </w:tr>
      <w:tr w:rsidR="006B1A60" w:rsidRPr="00A32A32" w14:paraId="2791424B" w14:textId="77777777" w:rsidTr="006B1A60">
        <w:trPr>
          <w:trHeight w:val="46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BABC" w14:textId="77777777" w:rsidR="006B1A60" w:rsidRPr="00A32A32" w:rsidRDefault="006B1A60" w:rsidP="006B1A60">
            <w:pPr>
              <w:rPr>
                <w:color w:val="191919"/>
              </w:rPr>
            </w:pPr>
            <w:r w:rsidRPr="00A32A32">
              <w:rPr>
                <w:color w:val="191919"/>
              </w:rPr>
              <w:t>Красноярский край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9489" w14:textId="77777777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A32A32">
              <w:rPr>
                <w:color w:val="191919"/>
              </w:rPr>
              <w:t>787 530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4E98" w14:textId="77777777" w:rsidR="006B1A60" w:rsidRPr="00A32A32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A32A32">
              <w:rPr>
                <w:b/>
                <w:bCs/>
                <w:color w:val="191919"/>
              </w:rPr>
              <w:t>832 457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FCC0" w14:textId="556F853E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6%</w:t>
            </w:r>
          </w:p>
        </w:tc>
      </w:tr>
      <w:tr w:rsidR="006B1A60" w:rsidRPr="00A32A32" w14:paraId="436F6499" w14:textId="77777777" w:rsidTr="006B1A60">
        <w:trPr>
          <w:trHeight w:val="46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0A58" w14:textId="77777777" w:rsidR="006B1A60" w:rsidRPr="00A32A32" w:rsidRDefault="006B1A60" w:rsidP="006B1A60">
            <w:pPr>
              <w:rPr>
                <w:color w:val="191919"/>
              </w:rPr>
            </w:pPr>
            <w:r w:rsidRPr="00A32A32">
              <w:rPr>
                <w:color w:val="191919"/>
              </w:rPr>
              <w:t>Ставропольский край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964E" w14:textId="77777777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A32A32">
              <w:rPr>
                <w:color w:val="191919"/>
              </w:rPr>
              <w:t>740 792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FAFC" w14:textId="77777777" w:rsidR="006B1A60" w:rsidRPr="00A32A32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A32A32">
              <w:rPr>
                <w:b/>
                <w:bCs/>
                <w:color w:val="191919"/>
              </w:rPr>
              <w:t>818 868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8EC9" w14:textId="5F248F21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11%</w:t>
            </w:r>
          </w:p>
        </w:tc>
      </w:tr>
      <w:tr w:rsidR="006B1A60" w:rsidRPr="00A32A32" w14:paraId="2CC95F72" w14:textId="77777777" w:rsidTr="006B1A60">
        <w:trPr>
          <w:trHeight w:val="46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2889" w14:textId="77777777" w:rsidR="006B1A60" w:rsidRPr="00A32A32" w:rsidRDefault="006B1A60" w:rsidP="006B1A60">
            <w:pPr>
              <w:rPr>
                <w:color w:val="191919"/>
              </w:rPr>
            </w:pPr>
            <w:r w:rsidRPr="00A32A32">
              <w:rPr>
                <w:color w:val="191919"/>
              </w:rPr>
              <w:t>Новосибирская область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D947" w14:textId="77777777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A32A32">
              <w:rPr>
                <w:color w:val="191919"/>
              </w:rPr>
              <w:t>782 836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338A" w14:textId="77777777" w:rsidR="006B1A60" w:rsidRPr="00A32A32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A32A32">
              <w:rPr>
                <w:b/>
                <w:bCs/>
                <w:color w:val="191919"/>
              </w:rPr>
              <w:t>764 687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F831" w14:textId="7A037A8B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-2%</w:t>
            </w:r>
          </w:p>
        </w:tc>
      </w:tr>
      <w:tr w:rsidR="006B1A60" w:rsidRPr="00A32A32" w14:paraId="237F9F9C" w14:textId="77777777" w:rsidTr="006B1A60">
        <w:trPr>
          <w:trHeight w:val="46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649E" w14:textId="77777777" w:rsidR="006B1A60" w:rsidRPr="00A32A32" w:rsidRDefault="006B1A60" w:rsidP="006B1A60">
            <w:pPr>
              <w:rPr>
                <w:color w:val="191919"/>
              </w:rPr>
            </w:pPr>
            <w:r w:rsidRPr="00A32A32">
              <w:rPr>
                <w:color w:val="191919"/>
              </w:rPr>
              <w:t>Ростовская область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D0D3" w14:textId="77777777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A32A32">
              <w:rPr>
                <w:color w:val="191919"/>
              </w:rPr>
              <w:t>701 676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F6D0" w14:textId="77777777" w:rsidR="006B1A60" w:rsidRPr="00A32A32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A32A32">
              <w:rPr>
                <w:b/>
                <w:bCs/>
                <w:color w:val="191919"/>
              </w:rPr>
              <w:t>759 839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39F8" w14:textId="5D944B58" w:rsidR="006B1A60" w:rsidRPr="00A32A32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8%</w:t>
            </w:r>
          </w:p>
        </w:tc>
      </w:tr>
    </w:tbl>
    <w:p w14:paraId="30761A5B" w14:textId="77777777" w:rsidR="000268BC" w:rsidRDefault="000268BC" w:rsidP="008C2CD1">
      <w:pPr>
        <w:jc w:val="both"/>
      </w:pPr>
    </w:p>
    <w:p w14:paraId="153F7178" w14:textId="3DE015C4" w:rsidR="00A32A32" w:rsidRPr="00AF1EEA" w:rsidRDefault="00A32A32" w:rsidP="00A32A32">
      <w:pPr>
        <w:jc w:val="both"/>
      </w:pPr>
      <w:r w:rsidRPr="00AF1EEA">
        <w:t xml:space="preserve">* Данные </w:t>
      </w:r>
      <w:r>
        <w:t>НБКИ</w:t>
      </w:r>
      <w:r w:rsidRPr="00AF1EEA">
        <w:t xml:space="preserve">, </w:t>
      </w:r>
      <w:r>
        <w:t>анализ</w:t>
      </w:r>
      <w:r w:rsidRPr="00AF1EEA">
        <w:t xml:space="preserve"> проекта ОНФ «За права заемщиков»</w:t>
      </w:r>
    </w:p>
    <w:p w14:paraId="78EFC053" w14:textId="77777777" w:rsidR="00E63B24" w:rsidRDefault="00E63B24" w:rsidP="00E63B24">
      <w:pPr>
        <w:rPr>
          <w:rFonts w:ascii="Arial" w:hAnsi="Arial" w:cs="Arial"/>
          <w:color w:val="191919"/>
          <w:sz w:val="27"/>
          <w:szCs w:val="27"/>
          <w:shd w:val="clear" w:color="auto" w:fill="FFFFFF"/>
        </w:rPr>
      </w:pPr>
    </w:p>
    <w:p w14:paraId="6DE4D104" w14:textId="77A0A5C1" w:rsidR="00E63B24" w:rsidRPr="00E63B24" w:rsidRDefault="00E63B24" w:rsidP="00E63B24">
      <w:pPr>
        <w:jc w:val="both"/>
      </w:pPr>
      <w:r w:rsidRPr="00E63B24">
        <w:lastRenderedPageBreak/>
        <w:t xml:space="preserve">Умеренный рост среднего размера автокредита в 2019 году связан с ростом цен на импортные автомобили, приобретаемые в кредит, ужесточении процессов </w:t>
      </w:r>
      <w:proofErr w:type="spellStart"/>
      <w:r w:rsidRPr="00E63B24">
        <w:t>скоринга</w:t>
      </w:r>
      <w:proofErr w:type="spellEnd"/>
      <w:r w:rsidRPr="00E63B24">
        <w:t xml:space="preserve"> заемщиков, с целью минимизации банковских рисков. При выдаче автокредитов в приоритете были клиенты, у которых</w:t>
      </w:r>
      <w:r w:rsidRPr="00E63B24">
        <w:t xml:space="preserve"> показатель долговой нагрузки (ПДН) и персональный кредитный рейтинг (ПКР) находятся на приемлемом уровне.</w:t>
      </w:r>
    </w:p>
    <w:p w14:paraId="05FA810A" w14:textId="77777777" w:rsidR="000268BC" w:rsidRDefault="000268BC" w:rsidP="008C2CD1">
      <w:pPr>
        <w:jc w:val="both"/>
      </w:pPr>
    </w:p>
    <w:p w14:paraId="37FCBE21" w14:textId="0278CAD2" w:rsidR="0092051E" w:rsidRPr="005F098B" w:rsidRDefault="005F098B" w:rsidP="00911355">
      <w:pPr>
        <w:jc w:val="both"/>
        <w:rPr>
          <w:b/>
        </w:rPr>
      </w:pPr>
      <w:proofErr w:type="spellStart"/>
      <w:r w:rsidRPr="005F098B">
        <w:rPr>
          <w:b/>
        </w:rPr>
        <w:t>Микрозаймы</w:t>
      </w:r>
      <w:proofErr w:type="spellEnd"/>
      <w:r w:rsidRPr="005F098B">
        <w:rPr>
          <w:b/>
        </w:rPr>
        <w:t>.</w:t>
      </w:r>
    </w:p>
    <w:p w14:paraId="6F099914" w14:textId="77777777" w:rsidR="005F098B" w:rsidRDefault="005F098B" w:rsidP="00911355">
      <w:pPr>
        <w:jc w:val="both"/>
      </w:pPr>
    </w:p>
    <w:p w14:paraId="12EC95F5" w14:textId="6620EB74" w:rsidR="006C28EC" w:rsidRDefault="006C28EC" w:rsidP="006C28EC">
      <w:pPr>
        <w:jc w:val="both"/>
      </w:pPr>
      <w:r w:rsidRPr="006C28EC">
        <w:t xml:space="preserve">По данным 3 000 </w:t>
      </w:r>
      <w:proofErr w:type="spellStart"/>
      <w:r w:rsidRPr="006C28EC">
        <w:t>микрофинансовых</w:t>
      </w:r>
      <w:proofErr w:type="spellEnd"/>
      <w:r w:rsidRPr="006C28EC">
        <w:t xml:space="preserve"> институтов (</w:t>
      </w:r>
      <w:proofErr w:type="spellStart"/>
      <w:r w:rsidRPr="006C28EC">
        <w:t>микрофинансовых</w:t>
      </w:r>
      <w:proofErr w:type="spellEnd"/>
      <w:r w:rsidRPr="006C28EC">
        <w:t xml:space="preserve"> организаций и кредитных потребительских кооперативов), передающих сведения в Национальное бюро кредитных историй (НБКИ), в 4 квартале 2019 года средний размер </w:t>
      </w:r>
      <w:proofErr w:type="spellStart"/>
      <w:r w:rsidRPr="006C28EC">
        <w:t>микрозайма</w:t>
      </w:r>
      <w:proofErr w:type="spellEnd"/>
      <w:r w:rsidRPr="006C28EC">
        <w:t xml:space="preserve"> (или «займа до зарплаты») вырос на 7,7% по сравнению с аналогичным периодом 2018 года и составил 8,2 тыс. руб. (в 4 кв. 2018 года – 7,6 тыс. руб.)</w:t>
      </w:r>
    </w:p>
    <w:p w14:paraId="17F5A938" w14:textId="46698849" w:rsidR="00A27E37" w:rsidRDefault="00A27E37" w:rsidP="006C28EC">
      <w:pPr>
        <w:jc w:val="both"/>
      </w:pPr>
    </w:p>
    <w:p w14:paraId="599E222C" w14:textId="7CA7F991" w:rsidR="00A27E37" w:rsidRDefault="00A27E37" w:rsidP="006C28EC">
      <w:pPr>
        <w:jc w:val="both"/>
      </w:pPr>
      <w:r w:rsidRPr="00A27E37">
        <w:t xml:space="preserve">По данным </w:t>
      </w:r>
      <w:proofErr w:type="spellStart"/>
      <w:r>
        <w:t>Цб</w:t>
      </w:r>
      <w:proofErr w:type="spellEnd"/>
      <w:r>
        <w:t xml:space="preserve"> РФ</w:t>
      </w:r>
      <w:r w:rsidRPr="00A27E37">
        <w:t>, сразу 53,7% всех займов выдаются клиентам, которые уже платят по кредитам свыше 50% от своих ежемесячных доходов. А почти 37%</w:t>
      </w:r>
      <w:r>
        <w:t xml:space="preserve"> </w:t>
      </w:r>
      <w:proofErr w:type="gramStart"/>
      <w:r>
        <w:t xml:space="preserve">- </w:t>
      </w:r>
      <w:r w:rsidRPr="00A27E37">
        <w:t>это</w:t>
      </w:r>
      <w:proofErr w:type="gramEnd"/>
      <w:r w:rsidRPr="00A27E37">
        <w:t xml:space="preserve"> </w:t>
      </w:r>
      <w:proofErr w:type="spellStart"/>
      <w:r w:rsidRPr="00A27E37">
        <w:t>сверхзакредитованные</w:t>
      </w:r>
      <w:proofErr w:type="spellEnd"/>
      <w:r w:rsidRPr="00A27E37">
        <w:t xml:space="preserve"> клиенты, работающие только на погашение долгов: они отдают кредиторам более 80% от своего заработка. ЦБ отмечает, что в банках доля таких клиентов составляет около 23%.</w:t>
      </w:r>
    </w:p>
    <w:p w14:paraId="3DD5A482" w14:textId="3E1D2876" w:rsidR="006C28EC" w:rsidRDefault="006C28EC" w:rsidP="006C28EC">
      <w:pPr>
        <w:jc w:val="both"/>
      </w:pPr>
    </w:p>
    <w:p w14:paraId="62480A5E" w14:textId="77777777" w:rsidR="00D02359" w:rsidRPr="00723A04" w:rsidRDefault="00D02359" w:rsidP="00723A04">
      <w:pPr>
        <w:jc w:val="both"/>
      </w:pPr>
      <w:r w:rsidRPr="00723A04">
        <w:t xml:space="preserve">При этом рост среднего </w:t>
      </w:r>
      <w:proofErr w:type="spellStart"/>
      <w:r w:rsidRPr="00723A04">
        <w:t>микрозайма</w:t>
      </w:r>
      <w:proofErr w:type="spellEnd"/>
      <w:r w:rsidRPr="00723A04">
        <w:t xml:space="preserve"> был отмечен на фоне сокращения выдачи в сегменте самых небольших займов до 10 тыс. рублей. Так, в 4 квартале 2019 года количество таких займов по сравнению с аналогичным периодом прошлого года сократилось на 12,5%.</w:t>
      </w:r>
    </w:p>
    <w:p w14:paraId="00C29E34" w14:textId="77777777" w:rsidR="00D02359" w:rsidRPr="00723A04" w:rsidRDefault="00D02359" w:rsidP="00723A04">
      <w:pPr>
        <w:jc w:val="both"/>
      </w:pPr>
    </w:p>
    <w:p w14:paraId="453BF380" w14:textId="3E376BD5" w:rsidR="00D02359" w:rsidRPr="00723A04" w:rsidRDefault="00D02359" w:rsidP="00723A04">
      <w:pPr>
        <w:jc w:val="both"/>
      </w:pPr>
      <w:r w:rsidRPr="00723A04">
        <w:t xml:space="preserve">Наибольший средний размер «займа до зарплаты» в 4 квартале 2019 году был зафиксирован в Москве (11,8 тыс. руб.), Московской области (10,1 тыс. руб.), Санкт-Петербурге (9,8 тыс. руб.), Ростовской области (9,5 тыс. руб.) и Ставропольском крае (9,4 тыс. руб.). В то же время самый маленький средний размер </w:t>
      </w:r>
      <w:proofErr w:type="spellStart"/>
      <w:r w:rsidRPr="00723A04">
        <w:t>микрозайма</w:t>
      </w:r>
      <w:proofErr w:type="spellEnd"/>
      <w:r w:rsidRPr="00723A04">
        <w:t xml:space="preserve"> </w:t>
      </w:r>
      <w:bookmarkStart w:id="0" w:name="_GoBack"/>
      <w:bookmarkEnd w:id="0"/>
      <w:r w:rsidRPr="00723A04">
        <w:t>был отмечен в Удмуртской Республике (6,9 тыс. руб.), Вологодской области (6,9 тыс. руб.), Приморском крае (7,1 тыс. руб.), а также в Иркутской (7,3 тыс. руб.) и Кемеровской (7,3 тыс. руб.) областях. </w:t>
      </w:r>
    </w:p>
    <w:p w14:paraId="27F961B3" w14:textId="77777777" w:rsidR="00D02359" w:rsidRPr="00723A04" w:rsidRDefault="00D02359" w:rsidP="00723A04">
      <w:pPr>
        <w:jc w:val="both"/>
      </w:pPr>
    </w:p>
    <w:p w14:paraId="2525DA0F" w14:textId="653B94CB" w:rsidR="00D02359" w:rsidRPr="00723A04" w:rsidRDefault="00723A04" w:rsidP="00723A04">
      <w:pPr>
        <w:jc w:val="both"/>
      </w:pPr>
      <w:r>
        <w:t>С</w:t>
      </w:r>
      <w:r w:rsidR="00D02359" w:rsidRPr="00723A04">
        <w:t xml:space="preserve">амую высокую динамику роста среднего размера </w:t>
      </w:r>
      <w:proofErr w:type="spellStart"/>
      <w:r w:rsidR="00D02359" w:rsidRPr="00723A04">
        <w:t>микрозайма</w:t>
      </w:r>
      <w:proofErr w:type="spellEnd"/>
      <w:r w:rsidR="00D02359" w:rsidRPr="00723A04">
        <w:t xml:space="preserve"> (среди 30 регионов-лидеров по объемам данного вида розничного кредитования) продемонстрировали Алтайский край (+26,6%), а также Кемеровская (+21,8%), Новосибирская (+21,4%), Ростовская (+17,6%) и Челябинская (+16,3%) области. В Москве и Санкт-Петербурге средний размер </w:t>
      </w:r>
      <w:proofErr w:type="spellStart"/>
      <w:r w:rsidR="00D02359" w:rsidRPr="00723A04">
        <w:t>микрозайма</w:t>
      </w:r>
      <w:proofErr w:type="spellEnd"/>
      <w:r w:rsidR="00D02359" w:rsidRPr="00723A04">
        <w:t xml:space="preserve"> увеличился на 2,8% и 5,2% соответственно</w:t>
      </w:r>
    </w:p>
    <w:p w14:paraId="7FA600D1" w14:textId="77777777" w:rsidR="00D02359" w:rsidRDefault="00D02359" w:rsidP="006C28EC">
      <w:pPr>
        <w:jc w:val="both"/>
      </w:pPr>
    </w:p>
    <w:p w14:paraId="6D9A45BA" w14:textId="0A5651B6" w:rsidR="00E63B24" w:rsidRPr="00D72E07" w:rsidRDefault="00723A04" w:rsidP="00911355">
      <w:pPr>
        <w:jc w:val="both"/>
        <w:rPr>
          <w:b/>
        </w:rPr>
      </w:pPr>
      <w:r w:rsidRPr="00D72E07">
        <w:rPr>
          <w:b/>
        </w:rPr>
        <w:t>Потребительское кредитование.</w:t>
      </w:r>
    </w:p>
    <w:p w14:paraId="613AE931" w14:textId="77777777" w:rsidR="0092051E" w:rsidRDefault="0092051E" w:rsidP="00911355">
      <w:pPr>
        <w:jc w:val="both"/>
      </w:pPr>
    </w:p>
    <w:p w14:paraId="2A489A4F" w14:textId="77777777" w:rsidR="00733E31" w:rsidRDefault="00733E31" w:rsidP="00733E31">
      <w:pPr>
        <w:jc w:val="both"/>
      </w:pPr>
      <w:r w:rsidRPr="00733E31">
        <w:t>По данным 4 000 кредиторов, передающих сведения в Национальное бюро кредитных историй (НБКИ), в 2019 году количество выданных потребительских кредитов составило 19,45 млн. ед., увеличившись на 2,7% по сравнению с 2018 годом (18,93 млн. ед.)</w:t>
      </w:r>
    </w:p>
    <w:p w14:paraId="1DD619F1" w14:textId="5F6707FF" w:rsidR="0092051E" w:rsidRDefault="0092051E" w:rsidP="00911355">
      <w:pPr>
        <w:jc w:val="both"/>
      </w:pPr>
    </w:p>
    <w:p w14:paraId="3AAB6484" w14:textId="77777777" w:rsidR="006555E7" w:rsidRDefault="006555E7" w:rsidP="00733E31">
      <w:pPr>
        <w:jc w:val="both"/>
        <w:rPr>
          <w:b/>
        </w:rPr>
      </w:pPr>
    </w:p>
    <w:p w14:paraId="04932FF0" w14:textId="77777777" w:rsidR="006555E7" w:rsidRDefault="006555E7" w:rsidP="00733E31">
      <w:pPr>
        <w:jc w:val="both"/>
        <w:rPr>
          <w:b/>
        </w:rPr>
      </w:pPr>
    </w:p>
    <w:p w14:paraId="0713B747" w14:textId="77777777" w:rsidR="006555E7" w:rsidRDefault="006555E7" w:rsidP="00733E31">
      <w:pPr>
        <w:jc w:val="both"/>
        <w:rPr>
          <w:b/>
        </w:rPr>
      </w:pPr>
    </w:p>
    <w:p w14:paraId="1116DB76" w14:textId="77777777" w:rsidR="006555E7" w:rsidRDefault="006555E7" w:rsidP="00733E31">
      <w:pPr>
        <w:jc w:val="both"/>
        <w:rPr>
          <w:b/>
        </w:rPr>
      </w:pPr>
    </w:p>
    <w:p w14:paraId="2B10A373" w14:textId="77777777" w:rsidR="006555E7" w:rsidRDefault="006555E7" w:rsidP="00733E31">
      <w:pPr>
        <w:jc w:val="both"/>
        <w:rPr>
          <w:b/>
        </w:rPr>
      </w:pPr>
    </w:p>
    <w:p w14:paraId="1C78560C" w14:textId="77777777" w:rsidR="006555E7" w:rsidRDefault="006555E7" w:rsidP="00733E31">
      <w:pPr>
        <w:jc w:val="both"/>
        <w:rPr>
          <w:b/>
        </w:rPr>
      </w:pPr>
    </w:p>
    <w:p w14:paraId="721C4E39" w14:textId="77777777" w:rsidR="006555E7" w:rsidRDefault="006555E7" w:rsidP="00733E31">
      <w:pPr>
        <w:jc w:val="both"/>
        <w:rPr>
          <w:b/>
        </w:rPr>
      </w:pPr>
    </w:p>
    <w:p w14:paraId="04D55F75" w14:textId="4F89BCC9" w:rsidR="00733E31" w:rsidRPr="00733E31" w:rsidRDefault="00733E31" w:rsidP="00733E31">
      <w:pPr>
        <w:jc w:val="both"/>
        <w:rPr>
          <w:b/>
        </w:rPr>
      </w:pPr>
      <w:r w:rsidRPr="00733E31">
        <w:rPr>
          <w:b/>
        </w:rPr>
        <w:t xml:space="preserve">Динамика количества выданных </w:t>
      </w:r>
      <w:proofErr w:type="spellStart"/>
      <w:r w:rsidRPr="00733E31">
        <w:rPr>
          <w:b/>
        </w:rPr>
        <w:t>потребкредитов</w:t>
      </w:r>
      <w:proofErr w:type="spellEnd"/>
      <w:r w:rsidRPr="00733E31">
        <w:rPr>
          <w:b/>
        </w:rPr>
        <w:t xml:space="preserve"> в 2019 году в сравнении с 2018 годом, в %</w:t>
      </w:r>
    </w:p>
    <w:p w14:paraId="08BBC0DB" w14:textId="77777777" w:rsidR="00733E31" w:rsidRDefault="00733E31" w:rsidP="00733E31">
      <w:pPr>
        <w:shd w:val="clear" w:color="auto" w:fill="FFFFFF"/>
        <w:jc w:val="both"/>
        <w:rPr>
          <w:rFonts w:ascii="Arial" w:hAnsi="Arial" w:cs="Arial"/>
          <w:color w:val="191919"/>
          <w:sz w:val="27"/>
          <w:szCs w:val="27"/>
        </w:rPr>
      </w:pPr>
    </w:p>
    <w:tbl>
      <w:tblPr>
        <w:tblW w:w="0" w:type="auto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81"/>
        <w:gridCol w:w="2778"/>
        <w:gridCol w:w="1180"/>
        <w:gridCol w:w="2778"/>
        <w:gridCol w:w="1422"/>
      </w:tblGrid>
      <w:tr w:rsidR="00733E31" w14:paraId="4108CC82" w14:textId="77777777" w:rsidTr="00733E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E251A0" w14:textId="77777777" w:rsidR="00733E31" w:rsidRDefault="00733E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Период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622636" w14:textId="77777777" w:rsidR="00733E31" w:rsidRDefault="00733E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 выданных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потребкредитов</w:t>
            </w:r>
            <w:proofErr w:type="spellEnd"/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> млн. ед.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60E393" w14:textId="77777777" w:rsidR="00733E31" w:rsidRDefault="00733E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Период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073EEA" w14:textId="77777777" w:rsidR="00733E31" w:rsidRDefault="00733E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 выданных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потребкредитов</w:t>
            </w:r>
            <w:proofErr w:type="spellEnd"/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>млн. ед.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057FE8" w14:textId="77777777" w:rsidR="00733E31" w:rsidRDefault="00733E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Динамика</w:t>
            </w:r>
          </w:p>
        </w:tc>
      </w:tr>
      <w:tr w:rsidR="00733E31" w14:paraId="086A6EA9" w14:textId="77777777" w:rsidTr="00733E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9A805B" w14:textId="77777777" w:rsidR="00733E31" w:rsidRDefault="00733E31">
            <w:pPr>
              <w:jc w:val="center"/>
            </w:pPr>
            <w:r>
              <w:t>2018 год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3AD078" w14:textId="77777777" w:rsidR="00733E31" w:rsidRDefault="00733E31">
            <w:pPr>
              <w:jc w:val="center"/>
            </w:pPr>
            <w:r>
              <w:t>18,93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5C41EA" w14:textId="77777777" w:rsidR="00733E31" w:rsidRDefault="00733E31">
            <w:pPr>
              <w:jc w:val="center"/>
            </w:pPr>
            <w:r>
              <w:t>2019 год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59A24C" w14:textId="77777777" w:rsidR="00733E31" w:rsidRDefault="00733E31">
            <w:pPr>
              <w:jc w:val="center"/>
            </w:pPr>
            <w:r>
              <w:t>19,45 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B413DB" w14:textId="77777777" w:rsidR="00733E31" w:rsidRDefault="00733E31">
            <w:pPr>
              <w:jc w:val="center"/>
            </w:pPr>
            <w:r>
              <w:t>2,7%</w:t>
            </w:r>
          </w:p>
        </w:tc>
      </w:tr>
    </w:tbl>
    <w:p w14:paraId="0EAABC13" w14:textId="3E1D9855" w:rsidR="00733E31" w:rsidRDefault="00733E31" w:rsidP="00911355">
      <w:pPr>
        <w:jc w:val="both"/>
      </w:pPr>
    </w:p>
    <w:p w14:paraId="1069CDD2" w14:textId="3C58027D" w:rsidR="006B1A60" w:rsidRDefault="006B1A60" w:rsidP="00911355">
      <w:pPr>
        <w:jc w:val="both"/>
      </w:pPr>
      <w:r w:rsidRPr="00AF1EEA">
        <w:t xml:space="preserve">* Данные </w:t>
      </w:r>
      <w:r>
        <w:t>НБКИ</w:t>
      </w:r>
    </w:p>
    <w:p w14:paraId="7E80BCA7" w14:textId="77777777" w:rsidR="006B1A60" w:rsidRDefault="006B1A60" w:rsidP="00911355">
      <w:pPr>
        <w:jc w:val="both"/>
      </w:pPr>
    </w:p>
    <w:p w14:paraId="4CD1F5AA" w14:textId="77777777" w:rsidR="006B1A60" w:rsidRPr="006B1A60" w:rsidRDefault="006B1A60" w:rsidP="006B1A60">
      <w:pPr>
        <w:jc w:val="both"/>
      </w:pPr>
      <w:r w:rsidRPr="006B1A60">
        <w:t xml:space="preserve">При этом в 4 квартале 2019 года было зафиксировано незначительное снижение выдачи потребительских кредитов. Так, в последнем квартале 2019 года было выдано на 1,6% меньше </w:t>
      </w:r>
      <w:proofErr w:type="spellStart"/>
      <w:r w:rsidRPr="006B1A60">
        <w:t>потребкредитов</w:t>
      </w:r>
      <w:proofErr w:type="spellEnd"/>
      <w:r w:rsidRPr="006B1A60">
        <w:t xml:space="preserve"> (5,21 млн.) по сравнению с 4 кварталом 2018 года (5,29 млн. ед.). </w:t>
      </w:r>
    </w:p>
    <w:p w14:paraId="2DCA4FBA" w14:textId="77777777" w:rsidR="006B1A60" w:rsidRPr="006B1A60" w:rsidRDefault="006B1A60" w:rsidP="006B1A60">
      <w:pPr>
        <w:jc w:val="both"/>
      </w:pPr>
    </w:p>
    <w:p w14:paraId="45616BA9" w14:textId="77777777" w:rsidR="006B1A60" w:rsidRPr="006B1A60" w:rsidRDefault="006B1A60" w:rsidP="006B1A60">
      <w:pPr>
        <w:jc w:val="both"/>
      </w:pPr>
      <w:r w:rsidRPr="006B1A60">
        <w:t xml:space="preserve">Несмотря на ряд экспертных прогнозов, в декабре 2019 года было выдано самое большое в прошлом году количество </w:t>
      </w:r>
      <w:proofErr w:type="spellStart"/>
      <w:r w:rsidRPr="006B1A60">
        <w:t>потребкредитов</w:t>
      </w:r>
      <w:proofErr w:type="spellEnd"/>
      <w:r w:rsidRPr="006B1A60">
        <w:t xml:space="preserve"> – 1,85 млн. ед. Это на 5,6% меньше, чем в декабре 2018 года (1,96 млн. ед.), но на 13,9% больше, чем среднемесячные выдачи в 2019 году. </w:t>
      </w:r>
    </w:p>
    <w:p w14:paraId="456C0B1C" w14:textId="77777777" w:rsidR="006B1A60" w:rsidRPr="006B1A60" w:rsidRDefault="006B1A60" w:rsidP="006B1A60">
      <w:pPr>
        <w:jc w:val="both"/>
      </w:pPr>
    </w:p>
    <w:p w14:paraId="5CF30D68" w14:textId="562D39C8" w:rsidR="006B1A60" w:rsidRPr="006B1A60" w:rsidRDefault="006B1A60" w:rsidP="006B1A60">
      <w:pPr>
        <w:jc w:val="both"/>
      </w:pPr>
      <w:r w:rsidRPr="006B1A60">
        <w:t xml:space="preserve">Самое большое количество выданных потребительских кредитов в регионах РФ в 2019 году было отмечено в Москве (880,7 тыс. </w:t>
      </w:r>
      <w:r w:rsidR="00E95023">
        <w:t>руб</w:t>
      </w:r>
      <w:r w:rsidRPr="006B1A60">
        <w:t>.), Московской области (821,1 тыс. ед.), Краснодарском крае (755,0 тыс. ед.), Республике Башкортостан (679,5 тыс. ед.), Свердловской области (644,1 тыс. ед.) и Республике Татарстан (640,9 тыс. ед.). </w:t>
      </w:r>
    </w:p>
    <w:p w14:paraId="73563F9F" w14:textId="77777777" w:rsidR="006B1A60" w:rsidRPr="006B1A60" w:rsidRDefault="006B1A60" w:rsidP="006B1A60">
      <w:pPr>
        <w:jc w:val="both"/>
      </w:pPr>
    </w:p>
    <w:p w14:paraId="4ED3A5BB" w14:textId="136DCFE0" w:rsidR="006B1A60" w:rsidRPr="006B1A60" w:rsidRDefault="006B1A60" w:rsidP="006B1A60">
      <w:pPr>
        <w:jc w:val="both"/>
      </w:pPr>
      <w:r w:rsidRPr="006B1A60">
        <w:t xml:space="preserve">При этом самая серьезная динамика роста выдачи </w:t>
      </w:r>
      <w:proofErr w:type="spellStart"/>
      <w:r w:rsidRPr="006B1A60">
        <w:t>потребкредитов</w:t>
      </w:r>
      <w:proofErr w:type="spellEnd"/>
      <w:r w:rsidRPr="006B1A60">
        <w:t xml:space="preserve"> в 2019 года по сравнению с 2018 годом была зафиксирована в Тюменской области (12,4%), Ставропольском крае (11,7%), Москве (11,5%), Омской области (11,4%), а также в Ханты-Мансийском АО (10,8%). В то же время, в ряде регионов было отмечено снижение количества выданных потребительских кредитов, в </w:t>
      </w:r>
      <w:proofErr w:type="spellStart"/>
      <w:r w:rsidRPr="006B1A60">
        <w:t>т.ч</w:t>
      </w:r>
      <w:proofErr w:type="spellEnd"/>
      <w:r w:rsidRPr="006B1A60">
        <w:t>. во Владимирской (-3,5%) и Белгородской (-0,2%) областях</w:t>
      </w:r>
    </w:p>
    <w:p w14:paraId="60D41B67" w14:textId="76CC9020" w:rsidR="0092051E" w:rsidRDefault="0092051E" w:rsidP="00911355">
      <w:pPr>
        <w:jc w:val="both"/>
      </w:pPr>
    </w:p>
    <w:p w14:paraId="20C20DF8" w14:textId="52ED5785" w:rsidR="00305824" w:rsidRPr="00305824" w:rsidRDefault="00305824" w:rsidP="00911355">
      <w:pPr>
        <w:jc w:val="both"/>
        <w:rPr>
          <w:b/>
        </w:rPr>
      </w:pPr>
      <w:r w:rsidRPr="00305824">
        <w:rPr>
          <w:b/>
        </w:rPr>
        <w:t xml:space="preserve">Топ-10 Регионов по динамике выдачи </w:t>
      </w:r>
      <w:proofErr w:type="spellStart"/>
      <w:r w:rsidRPr="00305824">
        <w:rPr>
          <w:b/>
        </w:rPr>
        <w:t>потребкредитов</w:t>
      </w:r>
      <w:proofErr w:type="spellEnd"/>
    </w:p>
    <w:p w14:paraId="2C418636" w14:textId="208C21AE" w:rsidR="006B1A60" w:rsidRDefault="006B1A60" w:rsidP="00911355">
      <w:pPr>
        <w:jc w:val="both"/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3168"/>
        <w:gridCol w:w="2024"/>
        <w:gridCol w:w="1895"/>
        <w:gridCol w:w="2258"/>
      </w:tblGrid>
      <w:tr w:rsidR="006B1A60" w:rsidRPr="006B1A60" w14:paraId="741A1697" w14:textId="77777777" w:rsidTr="006B1A60">
        <w:trPr>
          <w:trHeight w:val="460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2EA643BB" w14:textId="77777777" w:rsidR="006B1A60" w:rsidRPr="006B1A60" w:rsidRDefault="006B1A60" w:rsidP="006B1A60">
            <w:pPr>
              <w:jc w:val="center"/>
              <w:rPr>
                <w:b/>
                <w:bCs/>
                <w:color w:val="000000"/>
              </w:rPr>
            </w:pPr>
            <w:r w:rsidRPr="006B1A60">
              <w:rPr>
                <w:b/>
                <w:bCs/>
                <w:color w:val="000000"/>
              </w:rPr>
              <w:t>По регионам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3B813A25" w14:textId="5CBEF32E" w:rsidR="006B1A60" w:rsidRPr="006B1A60" w:rsidRDefault="006B1A60" w:rsidP="006B1A60">
            <w:pPr>
              <w:jc w:val="center"/>
              <w:rPr>
                <w:b/>
                <w:bCs/>
                <w:color w:val="000000"/>
              </w:rPr>
            </w:pPr>
            <w:r w:rsidRPr="006B1A60">
              <w:rPr>
                <w:b/>
                <w:bCs/>
                <w:color w:val="000000"/>
              </w:rPr>
              <w:t xml:space="preserve">2018 </w:t>
            </w:r>
            <w:proofErr w:type="gramStart"/>
            <w:r w:rsidRPr="006B1A60">
              <w:rPr>
                <w:b/>
                <w:bCs/>
                <w:color w:val="000000"/>
              </w:rPr>
              <w:t>год,  </w:t>
            </w:r>
            <w:r w:rsidR="00E95023">
              <w:rPr>
                <w:b/>
                <w:bCs/>
                <w:color w:val="000000"/>
              </w:rPr>
              <w:t>единиц</w:t>
            </w:r>
            <w:proofErr w:type="gramEnd"/>
            <w:r w:rsidRPr="006B1A60">
              <w:rPr>
                <w:b/>
                <w:bCs/>
                <w:color w:val="000000"/>
              </w:rPr>
              <w:t>.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67A075C8" w14:textId="0AE09D04" w:rsidR="006B1A60" w:rsidRPr="006B1A60" w:rsidRDefault="006B1A60" w:rsidP="006B1A60">
            <w:pPr>
              <w:jc w:val="center"/>
              <w:rPr>
                <w:b/>
                <w:bCs/>
                <w:color w:val="000000"/>
              </w:rPr>
            </w:pPr>
            <w:r w:rsidRPr="006B1A60">
              <w:rPr>
                <w:b/>
                <w:bCs/>
                <w:color w:val="000000"/>
              </w:rPr>
              <w:t xml:space="preserve">2019 </w:t>
            </w:r>
            <w:proofErr w:type="gramStart"/>
            <w:r w:rsidRPr="006B1A60">
              <w:rPr>
                <w:b/>
                <w:bCs/>
                <w:color w:val="000000"/>
              </w:rPr>
              <w:t>год,  </w:t>
            </w:r>
            <w:r w:rsidR="00E95023">
              <w:rPr>
                <w:b/>
                <w:bCs/>
                <w:color w:val="000000"/>
              </w:rPr>
              <w:t>единиц</w:t>
            </w:r>
            <w:proofErr w:type="gramEnd"/>
            <w:r w:rsidRPr="006B1A60">
              <w:rPr>
                <w:b/>
                <w:bCs/>
                <w:color w:val="000000"/>
              </w:rPr>
              <w:t>.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11D3596B" w14:textId="77777777" w:rsidR="006B1A60" w:rsidRPr="006B1A60" w:rsidRDefault="006B1A60" w:rsidP="006B1A60">
            <w:pPr>
              <w:jc w:val="center"/>
              <w:rPr>
                <w:b/>
                <w:bCs/>
                <w:color w:val="000000"/>
              </w:rPr>
            </w:pPr>
            <w:r w:rsidRPr="006B1A60">
              <w:rPr>
                <w:b/>
                <w:bCs/>
                <w:color w:val="000000"/>
              </w:rPr>
              <w:t>Изменение, в %</w:t>
            </w:r>
          </w:p>
        </w:tc>
      </w:tr>
      <w:tr w:rsidR="006B1A60" w:rsidRPr="006B1A60" w14:paraId="2DAFABDA" w14:textId="77777777" w:rsidTr="006B1A60">
        <w:trPr>
          <w:trHeight w:val="46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8BF4" w14:textId="77777777" w:rsidR="006B1A60" w:rsidRPr="006B1A60" w:rsidRDefault="006B1A60" w:rsidP="006B1A60">
            <w:pPr>
              <w:rPr>
                <w:color w:val="191919"/>
              </w:rPr>
            </w:pPr>
            <w:r w:rsidRPr="006B1A60">
              <w:rPr>
                <w:color w:val="191919"/>
              </w:rPr>
              <w:t>г. Москва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D51A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790 154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0888" w14:textId="77777777" w:rsidR="006B1A60" w:rsidRPr="006B1A60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6B1A60">
              <w:rPr>
                <w:b/>
                <w:bCs/>
                <w:color w:val="191919"/>
              </w:rPr>
              <w:t>880 696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2B30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12%</w:t>
            </w:r>
          </w:p>
        </w:tc>
      </w:tr>
      <w:tr w:rsidR="006B1A60" w:rsidRPr="006B1A60" w14:paraId="5DAE39C5" w14:textId="77777777" w:rsidTr="006B1A60">
        <w:trPr>
          <w:trHeight w:val="46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94C0" w14:textId="77777777" w:rsidR="006B1A60" w:rsidRPr="006B1A60" w:rsidRDefault="006B1A60" w:rsidP="006B1A60">
            <w:pPr>
              <w:rPr>
                <w:color w:val="191919"/>
              </w:rPr>
            </w:pPr>
            <w:r w:rsidRPr="006B1A60">
              <w:rPr>
                <w:color w:val="191919"/>
              </w:rPr>
              <w:t>Московская область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5953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742 222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9B3E" w14:textId="77777777" w:rsidR="006B1A60" w:rsidRPr="006B1A60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6B1A60">
              <w:rPr>
                <w:b/>
                <w:bCs/>
                <w:color w:val="191919"/>
              </w:rPr>
              <w:t>821 118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8E6A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11%</w:t>
            </w:r>
          </w:p>
        </w:tc>
      </w:tr>
      <w:tr w:rsidR="006B1A60" w:rsidRPr="006B1A60" w14:paraId="58F91DD9" w14:textId="77777777" w:rsidTr="006B1A60">
        <w:trPr>
          <w:trHeight w:val="46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1C6B" w14:textId="77777777" w:rsidR="006B1A60" w:rsidRPr="006B1A60" w:rsidRDefault="006B1A60" w:rsidP="006B1A60">
            <w:pPr>
              <w:rPr>
                <w:color w:val="191919"/>
              </w:rPr>
            </w:pPr>
            <w:r w:rsidRPr="006B1A60">
              <w:rPr>
                <w:color w:val="191919"/>
              </w:rPr>
              <w:t>Краснодарский край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3D9D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696 148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9CE8" w14:textId="77777777" w:rsidR="006B1A60" w:rsidRPr="006B1A60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6B1A60">
              <w:rPr>
                <w:b/>
                <w:bCs/>
                <w:color w:val="191919"/>
              </w:rPr>
              <w:t>755 018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4747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9%</w:t>
            </w:r>
          </w:p>
        </w:tc>
      </w:tr>
      <w:tr w:rsidR="006B1A60" w:rsidRPr="006B1A60" w14:paraId="517FEF67" w14:textId="77777777" w:rsidTr="006B1A60">
        <w:trPr>
          <w:trHeight w:val="46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EA5E" w14:textId="77777777" w:rsidR="006B1A60" w:rsidRPr="006B1A60" w:rsidRDefault="006B1A60" w:rsidP="006B1A60">
            <w:pPr>
              <w:rPr>
                <w:color w:val="191919"/>
              </w:rPr>
            </w:pPr>
            <w:r w:rsidRPr="006B1A60">
              <w:rPr>
                <w:color w:val="191919"/>
              </w:rPr>
              <w:t>Республика Башкортостан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FE81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644 511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52FB" w14:textId="77777777" w:rsidR="006B1A60" w:rsidRPr="006B1A60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6B1A60">
              <w:rPr>
                <w:b/>
                <w:bCs/>
                <w:color w:val="191919"/>
              </w:rPr>
              <w:t>679 494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6942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5%</w:t>
            </w:r>
          </w:p>
        </w:tc>
      </w:tr>
      <w:tr w:rsidR="006B1A60" w:rsidRPr="006B1A60" w14:paraId="797C54C6" w14:textId="77777777" w:rsidTr="006B1A60">
        <w:trPr>
          <w:trHeight w:val="46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27DF" w14:textId="77777777" w:rsidR="006B1A60" w:rsidRPr="006B1A60" w:rsidRDefault="006B1A60" w:rsidP="006B1A60">
            <w:pPr>
              <w:rPr>
                <w:color w:val="191919"/>
              </w:rPr>
            </w:pPr>
            <w:r w:rsidRPr="006B1A60">
              <w:rPr>
                <w:color w:val="191919"/>
              </w:rPr>
              <w:t>Свердловская область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6D9A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626 839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93BF" w14:textId="77777777" w:rsidR="006B1A60" w:rsidRPr="006B1A60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6B1A60">
              <w:rPr>
                <w:b/>
                <w:bCs/>
                <w:color w:val="191919"/>
              </w:rPr>
              <w:t>644 102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E851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3%</w:t>
            </w:r>
          </w:p>
        </w:tc>
      </w:tr>
      <w:tr w:rsidR="006B1A60" w:rsidRPr="006B1A60" w14:paraId="7E7A6ECA" w14:textId="77777777" w:rsidTr="006B1A60">
        <w:trPr>
          <w:trHeight w:val="46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189B" w14:textId="77777777" w:rsidR="006B1A60" w:rsidRPr="006B1A60" w:rsidRDefault="006B1A60" w:rsidP="006B1A60">
            <w:pPr>
              <w:rPr>
                <w:color w:val="191919"/>
              </w:rPr>
            </w:pPr>
            <w:r w:rsidRPr="006B1A60">
              <w:rPr>
                <w:color w:val="191919"/>
              </w:rPr>
              <w:t>Республика Татарстан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C2B5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600 389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6FC6" w14:textId="77777777" w:rsidR="006B1A60" w:rsidRPr="006B1A60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6B1A60">
              <w:rPr>
                <w:b/>
                <w:bCs/>
                <w:color w:val="191919"/>
              </w:rPr>
              <w:t>640 899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C67C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7%</w:t>
            </w:r>
          </w:p>
        </w:tc>
      </w:tr>
      <w:tr w:rsidR="006B1A60" w:rsidRPr="006B1A60" w14:paraId="30E96E00" w14:textId="77777777" w:rsidTr="006B1A60">
        <w:trPr>
          <w:trHeight w:val="46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433A" w14:textId="77777777" w:rsidR="006B1A60" w:rsidRPr="006B1A60" w:rsidRDefault="006B1A60" w:rsidP="006B1A60">
            <w:pPr>
              <w:rPr>
                <w:color w:val="191919"/>
              </w:rPr>
            </w:pPr>
            <w:r w:rsidRPr="006B1A60">
              <w:rPr>
                <w:color w:val="191919"/>
              </w:rPr>
              <w:t>Ростовская область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EE0D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545 168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245E" w14:textId="77777777" w:rsidR="006B1A60" w:rsidRPr="006B1A60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6B1A60">
              <w:rPr>
                <w:b/>
                <w:bCs/>
                <w:color w:val="191919"/>
              </w:rPr>
              <w:t>583 471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F41B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7%</w:t>
            </w:r>
          </w:p>
        </w:tc>
      </w:tr>
      <w:tr w:rsidR="006B1A60" w:rsidRPr="006B1A60" w14:paraId="0013DB36" w14:textId="77777777" w:rsidTr="006B1A60">
        <w:trPr>
          <w:trHeight w:val="46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C6B4" w14:textId="77777777" w:rsidR="006B1A60" w:rsidRPr="006B1A60" w:rsidRDefault="006B1A60" w:rsidP="006B1A60">
            <w:pPr>
              <w:rPr>
                <w:color w:val="191919"/>
              </w:rPr>
            </w:pPr>
            <w:r w:rsidRPr="006B1A60">
              <w:rPr>
                <w:color w:val="191919"/>
              </w:rPr>
              <w:t>г. Санкт-Петербург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8C8F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509 266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0106" w14:textId="77777777" w:rsidR="006B1A60" w:rsidRPr="006B1A60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6B1A60">
              <w:rPr>
                <w:b/>
                <w:bCs/>
                <w:color w:val="191919"/>
              </w:rPr>
              <w:t>560 599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0A11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10%</w:t>
            </w:r>
          </w:p>
        </w:tc>
      </w:tr>
      <w:tr w:rsidR="006B1A60" w:rsidRPr="006B1A60" w14:paraId="7F423142" w14:textId="77777777" w:rsidTr="006B1A60">
        <w:trPr>
          <w:trHeight w:val="46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6077" w14:textId="77777777" w:rsidR="006B1A60" w:rsidRPr="006B1A60" w:rsidRDefault="006B1A60" w:rsidP="006B1A60">
            <w:pPr>
              <w:rPr>
                <w:color w:val="191919"/>
              </w:rPr>
            </w:pPr>
            <w:r w:rsidRPr="006B1A60">
              <w:rPr>
                <w:color w:val="191919"/>
              </w:rPr>
              <w:t>Челябинская область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7167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530 546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3815" w14:textId="77777777" w:rsidR="006B1A60" w:rsidRPr="006B1A60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6B1A60">
              <w:rPr>
                <w:b/>
                <w:bCs/>
                <w:color w:val="191919"/>
              </w:rPr>
              <w:t>550 193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3FB8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4%</w:t>
            </w:r>
          </w:p>
        </w:tc>
      </w:tr>
      <w:tr w:rsidR="006B1A60" w:rsidRPr="006B1A60" w14:paraId="26082201" w14:textId="77777777" w:rsidTr="006B1A60">
        <w:trPr>
          <w:trHeight w:val="46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B2C1" w14:textId="77777777" w:rsidR="006B1A60" w:rsidRPr="006B1A60" w:rsidRDefault="006B1A60" w:rsidP="006B1A60">
            <w:pPr>
              <w:rPr>
                <w:color w:val="191919"/>
              </w:rPr>
            </w:pPr>
            <w:r w:rsidRPr="006B1A60">
              <w:rPr>
                <w:color w:val="191919"/>
              </w:rPr>
              <w:t>Кемеровская область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60AB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465 269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4FB2" w14:textId="77777777" w:rsidR="006B1A60" w:rsidRPr="006B1A60" w:rsidRDefault="006B1A60" w:rsidP="006B1A60">
            <w:pPr>
              <w:jc w:val="right"/>
              <w:rPr>
                <w:b/>
                <w:bCs/>
                <w:color w:val="191919"/>
              </w:rPr>
            </w:pPr>
            <w:r w:rsidRPr="006B1A60">
              <w:rPr>
                <w:b/>
                <w:bCs/>
                <w:color w:val="191919"/>
              </w:rPr>
              <w:t>485 458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35C1" w14:textId="77777777" w:rsidR="006B1A60" w:rsidRPr="006B1A60" w:rsidRDefault="006B1A60" w:rsidP="006B1A60">
            <w:pPr>
              <w:jc w:val="right"/>
              <w:rPr>
                <w:color w:val="191919"/>
              </w:rPr>
            </w:pPr>
            <w:r w:rsidRPr="006B1A60">
              <w:rPr>
                <w:color w:val="191919"/>
              </w:rPr>
              <w:t>4%</w:t>
            </w:r>
          </w:p>
        </w:tc>
      </w:tr>
    </w:tbl>
    <w:p w14:paraId="3AF4E0AF" w14:textId="77777777" w:rsidR="006B1A60" w:rsidRDefault="006B1A60" w:rsidP="00911355">
      <w:pPr>
        <w:jc w:val="both"/>
      </w:pPr>
    </w:p>
    <w:p w14:paraId="3A1FEED1" w14:textId="77777777" w:rsidR="006B1A60" w:rsidRPr="00AF1EEA" w:rsidRDefault="006B1A60" w:rsidP="006B1A60">
      <w:pPr>
        <w:jc w:val="both"/>
      </w:pPr>
      <w:r w:rsidRPr="00AF1EEA">
        <w:t xml:space="preserve">* Данные </w:t>
      </w:r>
      <w:r>
        <w:t>НБКИ</w:t>
      </w:r>
      <w:r w:rsidRPr="00AF1EEA">
        <w:t xml:space="preserve">, </w:t>
      </w:r>
      <w:r>
        <w:t>анализ</w:t>
      </w:r>
      <w:r w:rsidRPr="00AF1EEA">
        <w:t xml:space="preserve"> проекта ОНФ «За права заемщиков»</w:t>
      </w:r>
    </w:p>
    <w:p w14:paraId="24DAB475" w14:textId="28ACCF6D" w:rsidR="006B1A60" w:rsidRDefault="006B1A60" w:rsidP="00911355">
      <w:pPr>
        <w:jc w:val="both"/>
      </w:pPr>
    </w:p>
    <w:p w14:paraId="089E4093" w14:textId="77777777" w:rsidR="006B1A60" w:rsidRDefault="006B1A60" w:rsidP="00911355">
      <w:pPr>
        <w:jc w:val="both"/>
      </w:pPr>
    </w:p>
    <w:p w14:paraId="4A7AC46D" w14:textId="39ADEFC5" w:rsidR="00016E76" w:rsidRDefault="00016E76" w:rsidP="00911355">
      <w:pPr>
        <w:jc w:val="both"/>
      </w:pPr>
      <w:r w:rsidRPr="00AF1EEA">
        <w:t xml:space="preserve">Кредитную карту России за </w:t>
      </w:r>
      <w:r w:rsidR="00911355">
        <w:t>четвёртый</w:t>
      </w:r>
      <w:r w:rsidR="00BB3B02">
        <w:t xml:space="preserve"> квартал</w:t>
      </w:r>
      <w:r w:rsidR="007B5B36" w:rsidRPr="00AF1EEA">
        <w:t xml:space="preserve"> 2019</w:t>
      </w:r>
      <w:r w:rsidRPr="00AF1EEA">
        <w:t xml:space="preserve"> г. с показателями по каждому субъекту РФ можно посмотреть на сайте проекта ОНФ «За права заемщиков»</w:t>
      </w:r>
    </w:p>
    <w:p w14:paraId="38F95F4C" w14:textId="51C9B429" w:rsidR="005145DA" w:rsidRDefault="005145DA" w:rsidP="00566052">
      <w:pPr>
        <w:ind w:firstLine="708"/>
        <w:jc w:val="both"/>
      </w:pPr>
    </w:p>
    <w:p w14:paraId="421162A9" w14:textId="3002B819" w:rsidR="005145DA" w:rsidRDefault="005145DA" w:rsidP="00566052">
      <w:pPr>
        <w:ind w:firstLine="708"/>
        <w:jc w:val="both"/>
      </w:pPr>
    </w:p>
    <w:p w14:paraId="5B5B0A04" w14:textId="4E9C1657" w:rsidR="005145DA" w:rsidRDefault="005145DA" w:rsidP="00566052">
      <w:pPr>
        <w:ind w:firstLine="708"/>
        <w:jc w:val="both"/>
      </w:pPr>
    </w:p>
    <w:sectPr w:rsidR="005145DA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D9CD6" w14:textId="77777777" w:rsidR="00DB5DE4" w:rsidRDefault="00DB5DE4" w:rsidP="00DF0F5E">
      <w:r>
        <w:separator/>
      </w:r>
    </w:p>
  </w:endnote>
  <w:endnote w:type="continuationSeparator" w:id="0">
    <w:p w14:paraId="0293A174" w14:textId="77777777" w:rsidR="00DB5DE4" w:rsidRDefault="00DB5DE4" w:rsidP="00DF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054531911"/>
      <w:docPartObj>
        <w:docPartGallery w:val="Page Numbers (Bottom of Page)"/>
        <w:docPartUnique/>
      </w:docPartObj>
    </w:sdtPr>
    <w:sdtContent>
      <w:p w14:paraId="3B4E217D" w14:textId="02C17A2B" w:rsidR="00DF0F5E" w:rsidRDefault="00DF0F5E" w:rsidP="004254C3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4BE8C158" w14:textId="77777777" w:rsidR="00DF0F5E" w:rsidRDefault="00DF0F5E" w:rsidP="00DF0F5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19691164"/>
      <w:docPartObj>
        <w:docPartGallery w:val="Page Numbers (Bottom of Page)"/>
        <w:docPartUnique/>
      </w:docPartObj>
    </w:sdtPr>
    <w:sdtContent>
      <w:p w14:paraId="4DD89659" w14:textId="6B72B79A" w:rsidR="00DF0F5E" w:rsidRDefault="00DF0F5E" w:rsidP="004254C3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639B09EC" w14:textId="77777777" w:rsidR="00DF0F5E" w:rsidRDefault="00DF0F5E" w:rsidP="00DF0F5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5323E" w14:textId="77777777" w:rsidR="00DB5DE4" w:rsidRDefault="00DB5DE4" w:rsidP="00DF0F5E">
      <w:r>
        <w:separator/>
      </w:r>
    </w:p>
  </w:footnote>
  <w:footnote w:type="continuationSeparator" w:id="0">
    <w:p w14:paraId="7A70368C" w14:textId="77777777" w:rsidR="00DB5DE4" w:rsidRDefault="00DB5DE4" w:rsidP="00DF0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8E9"/>
    <w:rsid w:val="0000536E"/>
    <w:rsid w:val="00016E76"/>
    <w:rsid w:val="00020C82"/>
    <w:rsid w:val="0002571D"/>
    <w:rsid w:val="000268BC"/>
    <w:rsid w:val="00034945"/>
    <w:rsid w:val="0004724A"/>
    <w:rsid w:val="000506D5"/>
    <w:rsid w:val="0006211D"/>
    <w:rsid w:val="000631D6"/>
    <w:rsid w:val="00065D70"/>
    <w:rsid w:val="000821A7"/>
    <w:rsid w:val="000879F5"/>
    <w:rsid w:val="000F34EA"/>
    <w:rsid w:val="00111349"/>
    <w:rsid w:val="0014579F"/>
    <w:rsid w:val="00162C3C"/>
    <w:rsid w:val="00181928"/>
    <w:rsid w:val="00186844"/>
    <w:rsid w:val="001C5313"/>
    <w:rsid w:val="001D625D"/>
    <w:rsid w:val="001F3CD8"/>
    <w:rsid w:val="00224F31"/>
    <w:rsid w:val="0022799A"/>
    <w:rsid w:val="0026065E"/>
    <w:rsid w:val="00273589"/>
    <w:rsid w:val="00274D03"/>
    <w:rsid w:val="002763BB"/>
    <w:rsid w:val="002A6B29"/>
    <w:rsid w:val="002C2615"/>
    <w:rsid w:val="002C47A7"/>
    <w:rsid w:val="002D37E5"/>
    <w:rsid w:val="00305824"/>
    <w:rsid w:val="00320FFA"/>
    <w:rsid w:val="00343440"/>
    <w:rsid w:val="00351E36"/>
    <w:rsid w:val="003937D2"/>
    <w:rsid w:val="003B4986"/>
    <w:rsid w:val="003C406E"/>
    <w:rsid w:val="003D6987"/>
    <w:rsid w:val="003E605D"/>
    <w:rsid w:val="003E6D78"/>
    <w:rsid w:val="004213A7"/>
    <w:rsid w:val="0042290A"/>
    <w:rsid w:val="00434A4F"/>
    <w:rsid w:val="00490598"/>
    <w:rsid w:val="004B2107"/>
    <w:rsid w:val="004B740A"/>
    <w:rsid w:val="004D7523"/>
    <w:rsid w:val="005145DA"/>
    <w:rsid w:val="0051758E"/>
    <w:rsid w:val="00566052"/>
    <w:rsid w:val="005F098B"/>
    <w:rsid w:val="005F1BD0"/>
    <w:rsid w:val="00606964"/>
    <w:rsid w:val="00610EC3"/>
    <w:rsid w:val="00640EB3"/>
    <w:rsid w:val="006555E7"/>
    <w:rsid w:val="006772CF"/>
    <w:rsid w:val="00677EF5"/>
    <w:rsid w:val="00691C19"/>
    <w:rsid w:val="006A13EF"/>
    <w:rsid w:val="006B1A60"/>
    <w:rsid w:val="006C2666"/>
    <w:rsid w:val="006C28EC"/>
    <w:rsid w:val="006C5E54"/>
    <w:rsid w:val="006D795D"/>
    <w:rsid w:val="006F32EB"/>
    <w:rsid w:val="0070126F"/>
    <w:rsid w:val="00703617"/>
    <w:rsid w:val="0071451C"/>
    <w:rsid w:val="00720F0F"/>
    <w:rsid w:val="00723A04"/>
    <w:rsid w:val="00733E31"/>
    <w:rsid w:val="00747A8C"/>
    <w:rsid w:val="00757A96"/>
    <w:rsid w:val="0076052A"/>
    <w:rsid w:val="007A4812"/>
    <w:rsid w:val="007B5B36"/>
    <w:rsid w:val="007B6217"/>
    <w:rsid w:val="007D6AF5"/>
    <w:rsid w:val="007F0B52"/>
    <w:rsid w:val="008100AB"/>
    <w:rsid w:val="0081325B"/>
    <w:rsid w:val="00844101"/>
    <w:rsid w:val="00846862"/>
    <w:rsid w:val="0085063F"/>
    <w:rsid w:val="008A5599"/>
    <w:rsid w:val="008B015B"/>
    <w:rsid w:val="008C01AC"/>
    <w:rsid w:val="008C2CD1"/>
    <w:rsid w:val="008C6036"/>
    <w:rsid w:val="008E6C48"/>
    <w:rsid w:val="008E71B6"/>
    <w:rsid w:val="008F0435"/>
    <w:rsid w:val="00911355"/>
    <w:rsid w:val="0092051E"/>
    <w:rsid w:val="009347ED"/>
    <w:rsid w:val="00962C22"/>
    <w:rsid w:val="00993463"/>
    <w:rsid w:val="009A3460"/>
    <w:rsid w:val="009F0FE2"/>
    <w:rsid w:val="009F5EE1"/>
    <w:rsid w:val="00A07E92"/>
    <w:rsid w:val="00A27E37"/>
    <w:rsid w:val="00A32A32"/>
    <w:rsid w:val="00A37E12"/>
    <w:rsid w:val="00A64B1A"/>
    <w:rsid w:val="00A65FB6"/>
    <w:rsid w:val="00A94692"/>
    <w:rsid w:val="00A949AC"/>
    <w:rsid w:val="00AD5767"/>
    <w:rsid w:val="00AF0D5D"/>
    <w:rsid w:val="00AF1A0A"/>
    <w:rsid w:val="00AF1EEA"/>
    <w:rsid w:val="00B05127"/>
    <w:rsid w:val="00B05EAA"/>
    <w:rsid w:val="00B1426A"/>
    <w:rsid w:val="00B55DAB"/>
    <w:rsid w:val="00B66619"/>
    <w:rsid w:val="00B77524"/>
    <w:rsid w:val="00B96C0D"/>
    <w:rsid w:val="00BB3B02"/>
    <w:rsid w:val="00BD697A"/>
    <w:rsid w:val="00BF7DB4"/>
    <w:rsid w:val="00C20651"/>
    <w:rsid w:val="00C32BD6"/>
    <w:rsid w:val="00C64380"/>
    <w:rsid w:val="00C76178"/>
    <w:rsid w:val="00C8589D"/>
    <w:rsid w:val="00C9784B"/>
    <w:rsid w:val="00CC2411"/>
    <w:rsid w:val="00CF528D"/>
    <w:rsid w:val="00D02359"/>
    <w:rsid w:val="00D22313"/>
    <w:rsid w:val="00D234A1"/>
    <w:rsid w:val="00D37967"/>
    <w:rsid w:val="00D520E8"/>
    <w:rsid w:val="00D63B36"/>
    <w:rsid w:val="00D657A2"/>
    <w:rsid w:val="00D72E07"/>
    <w:rsid w:val="00DA5605"/>
    <w:rsid w:val="00DB2606"/>
    <w:rsid w:val="00DB2EC0"/>
    <w:rsid w:val="00DB5DE4"/>
    <w:rsid w:val="00DE2BC6"/>
    <w:rsid w:val="00DF0F5E"/>
    <w:rsid w:val="00DF7188"/>
    <w:rsid w:val="00E11C4D"/>
    <w:rsid w:val="00E30A84"/>
    <w:rsid w:val="00E63B24"/>
    <w:rsid w:val="00E8642F"/>
    <w:rsid w:val="00E93F5B"/>
    <w:rsid w:val="00E95023"/>
    <w:rsid w:val="00E97D49"/>
    <w:rsid w:val="00EA3809"/>
    <w:rsid w:val="00EC1E81"/>
    <w:rsid w:val="00ED01A4"/>
    <w:rsid w:val="00F11722"/>
    <w:rsid w:val="00F13BDF"/>
    <w:rsid w:val="00F46077"/>
    <w:rsid w:val="00F93B08"/>
    <w:rsid w:val="00FD48E9"/>
    <w:rsid w:val="00FD7B1F"/>
    <w:rsid w:val="00FE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BA00"/>
  <w15:chartTrackingRefBased/>
  <w15:docId w15:val="{C6D112EA-56EB-4B9B-AEFB-4C84CA28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E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F0F5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DF0F5E"/>
  </w:style>
  <w:style w:type="character" w:styleId="a5">
    <w:name w:val="page number"/>
    <w:basedOn w:val="a0"/>
    <w:uiPriority w:val="99"/>
    <w:semiHidden/>
    <w:unhideWhenUsed/>
    <w:rsid w:val="00DF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D/!!!&#1047;&#1055;&#1047;/&#1050;&#1088;&#1077;&#1076;%20&#1082;&#1072;&#1088;&#1090;&#1072;%20&#1056;&#1060;/4q2019/Households4q201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j-ea"/>
                <a:cs typeface="Arial" panose="020B0604020202020204" pitchFamily="34" charset="0"/>
              </a:defRPr>
            </a:pPr>
            <a:r>
              <a:rPr lang="ru-RU" sz="1200">
                <a:latin typeface="Arial" panose="020B0604020202020204" pitchFamily="34" charset="0"/>
                <a:cs typeface="Arial" panose="020B0604020202020204" pitchFamily="34" charset="0"/>
              </a:rPr>
              <a:t>Кредитная задолженность физ. лиц (млрд Ꝑ), в т.ч. просроченная (%, правая шкала)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38100">
              <a:solidFill>
                <a:schemeClr val="tx2">
                  <a:lumMod val="40000"/>
                  <a:lumOff val="60000"/>
                </a:schemeClr>
              </a:solidFill>
            </a:ln>
            <a:effectLst/>
          </c:spPr>
          <c:invertIfNegative val="0"/>
          <c:dLbls>
            <c:dLbl>
              <c:idx val="20"/>
              <c:layout>
                <c:manualLayout>
                  <c:x val="-3.8878504672897309E-2"/>
                  <c:y val="-1.4420900085588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DD2-604A-986E-8C6829C99FD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credit!$L$5:$L$25</c:f>
              <c:numCache>
                <c:formatCode>m/d/yy</c:formatCode>
                <c:ptCount val="21"/>
                <c:pt idx="0">
                  <c:v>43831</c:v>
                </c:pt>
                <c:pt idx="1">
                  <c:v>43739</c:v>
                </c:pt>
                <c:pt idx="2">
                  <c:v>43647</c:v>
                </c:pt>
                <c:pt idx="3">
                  <c:v>43556</c:v>
                </c:pt>
                <c:pt idx="4">
                  <c:v>43466</c:v>
                </c:pt>
                <c:pt idx="5">
                  <c:v>43374</c:v>
                </c:pt>
                <c:pt idx="6">
                  <c:v>43282</c:v>
                </c:pt>
                <c:pt idx="7">
                  <c:v>43191</c:v>
                </c:pt>
                <c:pt idx="8">
                  <c:v>43101</c:v>
                </c:pt>
                <c:pt idx="9">
                  <c:v>43009</c:v>
                </c:pt>
                <c:pt idx="10">
                  <c:v>42917</c:v>
                </c:pt>
                <c:pt idx="11">
                  <c:v>42826</c:v>
                </c:pt>
                <c:pt idx="12">
                  <c:v>42736</c:v>
                </c:pt>
                <c:pt idx="13">
                  <c:v>42644</c:v>
                </c:pt>
                <c:pt idx="14">
                  <c:v>42552</c:v>
                </c:pt>
                <c:pt idx="15">
                  <c:v>42461</c:v>
                </c:pt>
                <c:pt idx="16">
                  <c:v>42370</c:v>
                </c:pt>
                <c:pt idx="17">
                  <c:v>42278</c:v>
                </c:pt>
                <c:pt idx="18">
                  <c:v>42186</c:v>
                </c:pt>
                <c:pt idx="19">
                  <c:v>42095</c:v>
                </c:pt>
                <c:pt idx="20">
                  <c:v>42005</c:v>
                </c:pt>
              </c:numCache>
            </c:numRef>
          </c:cat>
          <c:val>
            <c:numRef>
              <c:f>credit!$N$5:$N$25</c:f>
              <c:numCache>
                <c:formatCode>0</c:formatCode>
                <c:ptCount val="21"/>
                <c:pt idx="0">
                  <c:v>17564.172999999999</c:v>
                </c:pt>
                <c:pt idx="1">
                  <c:v>17016.420999999998</c:v>
                </c:pt>
                <c:pt idx="2" formatCode="#,##0">
                  <c:v>16190.933999999999</c:v>
                </c:pt>
                <c:pt idx="3" formatCode="#,##0">
                  <c:v>15443.601000000001</c:v>
                </c:pt>
                <c:pt idx="4" formatCode="#,##0">
                  <c:v>14856.625</c:v>
                </c:pt>
                <c:pt idx="5" formatCode="#,##0">
                  <c:v>14133.803</c:v>
                </c:pt>
                <c:pt idx="6" formatCode="#,##0">
                  <c:v>13252.498</c:v>
                </c:pt>
                <c:pt idx="7" formatCode="#,##0">
                  <c:v>12530.011</c:v>
                </c:pt>
                <c:pt idx="8" formatCode="#,##0">
                  <c:v>12135.449000000001</c:v>
                </c:pt>
                <c:pt idx="9" formatCode="#,##0">
                  <c:v>11629.175999999999</c:v>
                </c:pt>
                <c:pt idx="10" formatCode="#,##0">
                  <c:v>11151.074000000001</c:v>
                </c:pt>
                <c:pt idx="11" formatCode="#,##0">
                  <c:v>10837.516</c:v>
                </c:pt>
                <c:pt idx="12" formatCode="#,##0">
                  <c:v>10773.717000000001</c:v>
                </c:pt>
                <c:pt idx="13" formatCode="#,##0">
                  <c:v>10693.031999999999</c:v>
                </c:pt>
                <c:pt idx="14" formatCode="#,##0">
                  <c:v>10543.831</c:v>
                </c:pt>
                <c:pt idx="15" formatCode="#,##0">
                  <c:v>10522.73</c:v>
                </c:pt>
                <c:pt idx="16" formatCode="#,##0">
                  <c:v>10634.035</c:v>
                </c:pt>
                <c:pt idx="17" formatCode="#,##0">
                  <c:v>10722.885</c:v>
                </c:pt>
                <c:pt idx="18" formatCode="#,##0">
                  <c:v>10690.063</c:v>
                </c:pt>
                <c:pt idx="19" formatCode="#,##0">
                  <c:v>10904.637000000001</c:v>
                </c:pt>
                <c:pt idx="20" formatCode="#,##0">
                  <c:v>11294.766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D2-604A-986E-8C6829C99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7"/>
        <c:axId val="396195872"/>
        <c:axId val="396198168"/>
      </c:barChart>
      <c:lineChart>
        <c:grouping val="standard"/>
        <c:varyColors val="0"/>
        <c:ser>
          <c:idx val="1"/>
          <c:order val="1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Lbls>
            <c:dLbl>
              <c:idx val="20"/>
              <c:layout>
                <c:manualLayout>
                  <c:x val="-4.3364485981308522E-2"/>
                  <c:y val="-5.04731502995601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DD2-604A-986E-8C6829C99FD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credit!$L$5:$L$25</c:f>
              <c:numCache>
                <c:formatCode>m/d/yy</c:formatCode>
                <c:ptCount val="21"/>
                <c:pt idx="0">
                  <c:v>43831</c:v>
                </c:pt>
                <c:pt idx="1">
                  <c:v>43739</c:v>
                </c:pt>
                <c:pt idx="2">
                  <c:v>43647</c:v>
                </c:pt>
                <c:pt idx="3">
                  <c:v>43556</c:v>
                </c:pt>
                <c:pt idx="4">
                  <c:v>43466</c:v>
                </c:pt>
                <c:pt idx="5">
                  <c:v>43374</c:v>
                </c:pt>
                <c:pt idx="6">
                  <c:v>43282</c:v>
                </c:pt>
                <c:pt idx="7">
                  <c:v>43191</c:v>
                </c:pt>
                <c:pt idx="8">
                  <c:v>43101</c:v>
                </c:pt>
                <c:pt idx="9">
                  <c:v>43009</c:v>
                </c:pt>
                <c:pt idx="10">
                  <c:v>42917</c:v>
                </c:pt>
                <c:pt idx="11">
                  <c:v>42826</c:v>
                </c:pt>
                <c:pt idx="12">
                  <c:v>42736</c:v>
                </c:pt>
                <c:pt idx="13">
                  <c:v>42644</c:v>
                </c:pt>
                <c:pt idx="14">
                  <c:v>42552</c:v>
                </c:pt>
                <c:pt idx="15">
                  <c:v>42461</c:v>
                </c:pt>
                <c:pt idx="16">
                  <c:v>42370</c:v>
                </c:pt>
                <c:pt idx="17">
                  <c:v>42278</c:v>
                </c:pt>
                <c:pt idx="18">
                  <c:v>42186</c:v>
                </c:pt>
                <c:pt idx="19">
                  <c:v>42095</c:v>
                </c:pt>
                <c:pt idx="20">
                  <c:v>42005</c:v>
                </c:pt>
              </c:numCache>
            </c:numRef>
          </c:cat>
          <c:val>
            <c:numRef>
              <c:f>credit!$Q$5:$Q$25</c:f>
              <c:numCache>
                <c:formatCode>0.0%</c:formatCode>
                <c:ptCount val="21"/>
                <c:pt idx="0">
                  <c:v>4.1560282969201001E-2</c:v>
                </c:pt>
                <c:pt idx="1">
                  <c:v>4.4457762299134465E-2</c:v>
                </c:pt>
                <c:pt idx="2">
                  <c:v>4.6233280921285952E-2</c:v>
                </c:pt>
                <c:pt idx="3">
                  <c:v>4.8836861299382181E-2</c:v>
                </c:pt>
                <c:pt idx="4">
                  <c:v>5.0991998519179155E-2</c:v>
                </c:pt>
                <c:pt idx="5">
                  <c:v>5.7497829848060004E-2</c:v>
                </c:pt>
                <c:pt idx="6">
                  <c:v>6.117103356665287E-2</c:v>
                </c:pt>
                <c:pt idx="7">
                  <c:v>6.6661473800781176E-2</c:v>
                </c:pt>
                <c:pt idx="8">
                  <c:v>6.976404416515615E-2</c:v>
                </c:pt>
                <c:pt idx="9">
                  <c:v>7.5143931091936345E-2</c:v>
                </c:pt>
                <c:pt idx="10">
                  <c:v>7.81122069497521E-2</c:v>
                </c:pt>
                <c:pt idx="11">
                  <c:v>8.1147930946537938E-2</c:v>
                </c:pt>
                <c:pt idx="12">
                  <c:v>7.9465517796689852E-2</c:v>
                </c:pt>
                <c:pt idx="13">
                  <c:v>8.5474727841457876E-2</c:v>
                </c:pt>
                <c:pt idx="14">
                  <c:v>8.5044136234732892E-2</c:v>
                </c:pt>
                <c:pt idx="15">
                  <c:v>8.4314526743535179E-2</c:v>
                </c:pt>
                <c:pt idx="16">
                  <c:v>8.1006598153946272E-2</c:v>
                </c:pt>
                <c:pt idx="17">
                  <c:v>7.994863322697203E-2</c:v>
                </c:pt>
                <c:pt idx="18">
                  <c:v>7.5214243358528388E-2</c:v>
                </c:pt>
                <c:pt idx="19">
                  <c:v>6.9341510405160664E-2</c:v>
                </c:pt>
                <c:pt idx="20">
                  <c:v>5.8933757458985873E-2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DD2-604A-986E-8C6829C99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0433872"/>
        <c:axId val="400432888"/>
      </c:lineChart>
      <c:dateAx>
        <c:axId val="396195872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96198168"/>
        <c:crosses val="autoZero"/>
        <c:auto val="1"/>
        <c:lblOffset val="100"/>
        <c:baseTimeUnit val="months"/>
        <c:majorUnit val="3"/>
        <c:majorTimeUnit val="months"/>
      </c:dateAx>
      <c:valAx>
        <c:axId val="396198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96195872"/>
        <c:crosses val="autoZero"/>
        <c:crossBetween val="between"/>
      </c:valAx>
      <c:valAx>
        <c:axId val="400432888"/>
        <c:scaling>
          <c:orientation val="minMax"/>
        </c:scaling>
        <c:delete val="0"/>
        <c:axPos val="r"/>
        <c:numFmt formatCode="0.0%" sourceLinked="1"/>
        <c:majorTickMark val="none"/>
        <c:minorTickMark val="none"/>
        <c:tickLblPos val="nextTo"/>
        <c:spPr>
          <a:noFill/>
          <a:ln>
            <a:solidFill>
              <a:schemeClr val="bg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400433872"/>
        <c:crosses val="max"/>
        <c:crossBetween val="between"/>
      </c:valAx>
      <c:dateAx>
        <c:axId val="400433872"/>
        <c:scaling>
          <c:orientation val="minMax"/>
        </c:scaling>
        <c:delete val="1"/>
        <c:axPos val="b"/>
        <c:numFmt formatCode="m/d/yy" sourceLinked="1"/>
        <c:majorTickMark val="out"/>
        <c:minorTickMark val="none"/>
        <c:tickLblPos val="nextTo"/>
        <c:crossAx val="400432888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Lozovaya</dc:creator>
  <cp:keywords/>
  <dc:description/>
  <cp:lastModifiedBy>Пользователь Microsoft Office</cp:lastModifiedBy>
  <cp:revision>145</cp:revision>
  <dcterms:created xsi:type="dcterms:W3CDTF">2019-05-07T07:20:00Z</dcterms:created>
  <dcterms:modified xsi:type="dcterms:W3CDTF">2020-02-10T22:15:00Z</dcterms:modified>
</cp:coreProperties>
</file>