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32"/>
          <w:szCs w:val="32"/>
        </w:rPr>
        <w:t xml:space="preserve">TelecomCatalog</w:t>
      </w:r>
    </w:p>
    <w:p>
      <w:pPr>
        <w:spacing w:before="400"/>
        <w:jc w:val="center"/>
      </w:pPr>
      <w:r>
        <w:rPr>
          <w:b/>
          <w:bCs/>
          <w:sz w:val="48"/>
          <w:szCs w:val="48"/>
        </w:rPr>
        <w:t xml:space="preserve">Documento de Arquitectura</w:t>
      </w:r>
    </w:p>
    <w:p>
      <w:pPr>
        <w:spacing w:before="200"/>
        <w:jc w:val="center"/>
      </w:pPr>
      <w:r>
        <w:rPr>
          <w:color w:val="595959"/>
          <w:sz w:val="26"/>
          <w:szCs w:val="26"/>
        </w:rPr>
        <w:t xml:space="preserve">Diseño del sistema y justificación de las decisiones técnicas</w:t>
      </w:r>
    </w:p>
    <w:p>
      <w:pPr>
        <w:spacing w:before="800"/>
      </w:pPr>
    </w:p>
    <w:p>
      <w:pPr>
        <w:jc w:val="center"/>
      </w:pPr>
      <w:r>
        <w:rPr>
          <w:color w:val="595959"/>
          <w:sz w:val="20"/>
          <w:szCs w:val="20"/>
        </w:rPr>
        <w:t xml:space="preserve">Versión 1.0 — Julio de 2026</w:t>
      </w:r>
    </w:p>
    <w:p>
      <w:pPr>
        <w:jc w:val="center"/>
      </w:pPr>
      <w:r>
        <w:rPr>
          <w:color w:val="595959"/>
          <w:sz w:val="20"/>
          <w:szCs w:val="20"/>
        </w:rPr>
        <w:t xml:space="preserve">Sinterk — TelecomCatalog (rama backend-supabase)</w:t>
      </w:r>
    </w:p>
    <w:p>
      <w:pPr>
        <w:jc w:val="center"/>
      </w:pPr>
      <w:r>
        <w:rPr>
          <w:color w:val="595959"/>
          <w:sz w:val="20"/>
          <w:szCs w:val="20"/>
        </w:rPr>
        <w:t xml:space="preserve">Complementa a docs/CONTINUAR-BACKEND.md (bitácora cronológica del repositorio)</w:t>
      </w:r>
    </w:p>
    <w:p>
      <w:r>
        <w:br w:type="page"/>
      </w:r>
    </w:p>
    <w:p>
      <w:pPr>
        <w:pStyle w:val="Heading1"/>
      </w:pPr>
      <w: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Resumen ejecutivo</w:t>
      </w:r>
    </w:p>
    <w:p>
      <w:pPr>
        <w:spacing w:after="160"/>
      </w:pPr>
      <w:r>
        <w:t xml:space="preserve">TelecomCatalog es una aplicación web progresiva (PWA) que digitaliza el flujo completo de trabajo de Sinterk para Entel: creación y seguimiento de proyectos (instalaciones ATT, levantamientos Preventivos, e Incidencias OyM), asignación de técnicos, control de inventario de materiales por bodega/técnico/proyecto, y — en desarrollo — la generación del Estado de Pago mensual a Entel.</w:t>
      </w:r>
    </w:p>
    <w:p>
      <w:pPr>
        <w:spacing w:after="160"/>
      </w:pPr>
      <w:r>
        <w:t xml:space="preserve">El sistema corre enteramente en el navegador (React) y usa Supabase como backend (base de datos Postgres, autenticación y almacenamiento de fotos), sin servidor propio que mantener. Se aloja gratuitamente en GitHub Pages.</w:t>
      </w:r>
    </w:p>
    <w:p>
      <w:pPr>
        <w:spacing w:after="160"/>
      </w:pPr>
      <w:r>
        <w:t xml:space="preserve">Este documento explica CÓMO está construido y, sobre todo, POR QUÉ se tomó cada decisión relevante — para que cualquier persona que revise el sistema (o vaya a modificarlo) entienda el razonamiento detrás del diseño, no solo el resultado.</w:t>
      </w:r>
    </w:p>
    <w:p>
      <w:pPr>
        <w:pStyle w:val="Heading1"/>
        <w:spacing w:after="200" w:before="400"/>
      </w:pPr>
      <w:r>
        <w:t xml:space="preserve">2. Stack tecnológico y justificación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00"/>
      </w:tblGrid>
      <w:tr>
        <w:trPr>
          <w:tblHeader/>
        </w:trPr>
        <w:tc>
          <w:tcPr>
            <w:tcW w:type="dxa" w:w="1800"/>
            <w:shd w:fill="DCE6F1" w:val="clear"/>
          </w:tcPr>
          <w:p>
            <w:r>
              <w:rPr>
                <w:b/>
                <w:bCs/>
                <w:sz w:val="20"/>
                <w:szCs w:val="20"/>
              </w:rPr>
              <w:t xml:space="preserve">Pieza</w:t>
            </w:r>
          </w:p>
        </w:tc>
        <w:tc>
          <w:tcPr>
            <w:tcW w:type="dxa" w:w="3000"/>
            <w:shd w:fill="DCE6F1" w:val="clear"/>
          </w:tcPr>
          <w:p>
            <w:r>
              <w:rPr>
                <w:b/>
                <w:bCs/>
                <w:sz w:val="20"/>
                <w:szCs w:val="20"/>
              </w:rPr>
              <w:t xml:space="preserve">Elección</w:t>
            </w:r>
          </w:p>
        </w:tc>
        <w:tc>
          <w:tcPr>
            <w:tcW w:type="dxa" w:w="4200"/>
            <w:shd w:fill="DCE6F1" w:val="clear"/>
          </w:tcPr>
          <w:p>
            <w:r>
              <w:rPr>
                <w:b/>
                <w:bCs/>
                <w:sz w:val="20"/>
                <w:szCs w:val="20"/>
              </w:rPr>
              <w:t xml:space="preserve">Por qué</w:t>
            </w:r>
          </w:p>
        </w:tc>
      </w:tr>
      <w:tr>
        <w:tc>
          <w:tcPr>
            <w:tcW w:type="dxa" w:w="1800"/>
          </w:tcPr>
          <w:p>
            <w:r>
              <w:rPr>
                <w:sz w:val="20"/>
                <w:szCs w:val="20"/>
              </w:rPr>
              <w:t xml:space="preserve">Frontend</w:t>
            </w:r>
          </w:p>
        </w:tc>
        <w:tc>
          <w:tcPr>
            <w:tcW w:type="dxa" w:w="3000"/>
          </w:tcPr>
          <w:p>
            <w:r>
              <w:rPr>
                <w:sz w:val="20"/>
                <w:szCs w:val="20"/>
              </w:rPr>
              <w:t xml:space="preserve">React 18 + Vite + TypeScript</w:t>
            </w:r>
          </w:p>
        </w:tc>
        <w:tc>
          <w:tcPr>
            <w:tcW w:type="dxa" w:w="4200"/>
          </w:tcPr>
          <w:p>
            <w:r>
              <w:rPr>
                <w:sz w:val="20"/>
                <w:szCs w:val="20"/>
              </w:rPr>
              <w:t xml:space="preserve">TypeScript detecta errores de tipeo/estructura de datos antes de llegar a producción — crítico con un modelo de datos tan interconectado (proyectos↔materiales↔movimientos). Vite da recarga instantánea en desarrollo.</w:t>
            </w:r>
          </w:p>
        </w:tc>
      </w:tr>
      <w:tr>
        <w:tc>
          <w:tcPr>
            <w:tcW w:type="dxa" w:w="1800"/>
          </w:tcPr>
          <w:p>
            <w:r>
              <w:rPr>
                <w:sz w:val="20"/>
                <w:szCs w:val="20"/>
              </w:rPr>
              <w:t xml:space="preserve">Estilos</w:t>
            </w:r>
          </w:p>
        </w:tc>
        <w:tc>
          <w:tcPr>
            <w:tcW w:type="dxa" w:w="3000"/>
          </w:tcPr>
          <w:p>
            <w:r>
              <w:rPr>
                <w:sz w:val="20"/>
                <w:szCs w:val="20"/>
              </w:rPr>
              <w:t xml:space="preserve">Tailwind CSS</w:t>
            </w:r>
          </w:p>
        </w:tc>
        <w:tc>
          <w:tcPr>
            <w:tcW w:type="dxa" w:w="4200"/>
          </w:tcPr>
          <w:p>
            <w:r>
              <w:rPr>
                <w:sz w:val="20"/>
                <w:szCs w:val="20"/>
              </w:rPr>
              <w:t xml:space="preserve">Estilado directo en el componente, sin archivos CSS separados que mantener sincronizados — clave para moverse rápido con un equipo de una persona.</w:t>
            </w:r>
          </w:p>
        </w:tc>
      </w:tr>
      <w:tr>
        <w:tc>
          <w:tcPr>
            <w:tcW w:type="dxa" w:w="1800"/>
          </w:tcPr>
          <w:p>
            <w:r>
              <w:rPr>
                <w:sz w:val="20"/>
                <w:szCs w:val="20"/>
              </w:rPr>
              <w:t xml:space="preserve">Estado de la app</w:t>
            </w:r>
          </w:p>
        </w:tc>
        <w:tc>
          <w:tcPr>
            <w:tcW w:type="dxa" w:w="3000"/>
          </w:tcPr>
          <w:p>
            <w:r>
              <w:rPr>
                <w:sz w:val="20"/>
                <w:szCs w:val="20"/>
              </w:rPr>
              <w:t xml:space="preserve">Zustand</w:t>
            </w:r>
          </w:p>
        </w:tc>
        <w:tc>
          <w:tcPr>
            <w:tcW w:type="dxa" w:w="4200"/>
          </w:tcPr>
          <w:p>
            <w:r>
              <w:rPr>
                <w:sz w:val="20"/>
                <w:szCs w:val="20"/>
              </w:rPr>
              <w:t xml:space="preserve">Alternativa liviana a Redux, sin el "boilerplate" (acciones/reducers) que no aporta valor en un proyecto de este tamaño.</w:t>
            </w:r>
          </w:p>
        </w:tc>
      </w:tr>
      <w:tr>
        <w:tc>
          <w:tcPr>
            <w:tcW w:type="dxa" w:w="1800"/>
          </w:tcPr>
          <w:p>
            <w:r>
              <w:rPr>
                <w:sz w:val="20"/>
                <w:szCs w:val="20"/>
              </w:rPr>
              <w:t xml:space="preserve">Datos offline</w:t>
            </w:r>
          </w:p>
        </w:tc>
        <w:tc>
          <w:tcPr>
            <w:tcW w:type="dxa" w:w="3000"/>
          </w:tcPr>
          <w:p>
            <w:r>
              <w:rPr>
                <w:sz w:val="20"/>
                <w:szCs w:val="20"/>
              </w:rPr>
              <w:t xml:space="preserve">idb (IndexedDB)</w:t>
            </w:r>
          </w:p>
        </w:tc>
        <w:tc>
          <w:tcPr>
            <w:tcW w:type="dxa" w:w="4200"/>
          </w:tcPr>
          <w:p>
            <w:r>
              <w:rPr>
                <w:sz w:val="20"/>
                <w:szCs w:val="20"/>
              </w:rPr>
              <w:t xml:space="preserve">Los técnicos trabajan en terreno con señal inestable — las fotos y borradores se guardan localmente primero y se sincronizan cuando hay red.</w:t>
            </w:r>
          </w:p>
        </w:tc>
      </w:tr>
      <w:tr>
        <w:tc>
          <w:tcPr>
            <w:tcW w:type="dxa" w:w="1800"/>
          </w:tcPr>
          <w:p>
            <w:r>
              <w:rPr>
                <w:sz w:val="20"/>
                <w:szCs w:val="20"/>
              </w:rPr>
              <w:t xml:space="preserve">App instalable</w:t>
            </w:r>
          </w:p>
        </w:tc>
        <w:tc>
          <w:tcPr>
            <w:tcW w:type="dxa" w:w="3000"/>
          </w:tcPr>
          <w:p>
            <w:r>
              <w:rPr>
                <w:sz w:val="20"/>
                <w:szCs w:val="20"/>
              </w:rPr>
              <w:t xml:space="preserve">vite-plugin-pwa (service worker)</w:t>
            </w:r>
          </w:p>
        </w:tc>
        <w:tc>
          <w:tcPr>
            <w:tcW w:type="dxa" w:w="4200"/>
          </w:tcPr>
          <w:p>
            <w:r>
              <w:rPr>
                <w:sz w:val="20"/>
                <w:szCs w:val="20"/>
              </w:rPr>
              <w:t xml:space="preserve">Que el técnico pueda "instalar" el sitio como app y seguir usándolo (para lo ya cargado) incluso con mala conexión.</w:t>
            </w:r>
          </w:p>
        </w:tc>
      </w:tr>
      <w:tr>
        <w:tc>
          <w:tcPr>
            <w:tcW w:type="dxa" w:w="1800"/>
          </w:tcPr>
          <w:p>
            <w:r>
              <w:rPr>
                <w:sz w:val="20"/>
                <w:szCs w:val="20"/>
              </w:rPr>
              <w:t xml:space="preserve">Backend</w:t>
            </w:r>
          </w:p>
        </w:tc>
        <w:tc>
          <w:tcPr>
            <w:tcW w:type="dxa" w:w="3000"/>
          </w:tcPr>
          <w:p>
            <w:r>
              <w:rPr>
                <w:sz w:val="20"/>
                <w:szCs w:val="20"/>
              </w:rPr>
              <w:t xml:space="preserve">Supabase (Postgres + Auth + Storage)</w:t>
            </w:r>
          </w:p>
        </w:tc>
        <w:tc>
          <w:tcPr>
            <w:tcW w:type="dxa" w:w="4200"/>
          </w:tcPr>
          <w:p>
            <w:r>
              <w:rPr>
                <w:sz w:val="20"/>
                <w:szCs w:val="20"/>
              </w:rPr>
              <w:t xml:space="preserve">Base de datos relacional real con seguridad a nivel de fila (RLS) — evita construir un servidor y una capa de permisos propia desde cero.</w:t>
            </w:r>
          </w:p>
        </w:tc>
      </w:tr>
      <w:tr>
        <w:tc>
          <w:tcPr>
            <w:tcW w:type="dxa" w:w="1800"/>
          </w:tcPr>
          <w:p>
            <w:r>
              <w:rPr>
                <w:sz w:val="20"/>
                <w:szCs w:val="20"/>
              </w:rPr>
              <w:t xml:space="preserve">Ruteo</w:t>
            </w:r>
          </w:p>
        </w:tc>
        <w:tc>
          <w:tcPr>
            <w:tcW w:type="dxa" w:w="3000"/>
          </w:tcPr>
          <w:p>
            <w:r>
              <w:rPr>
                <w:sz w:val="20"/>
                <w:szCs w:val="20"/>
              </w:rPr>
              <w:t xml:space="preserve">react-router-dom con HashRouter</w:t>
            </w:r>
          </w:p>
        </w:tc>
        <w:tc>
          <w:tcPr>
            <w:tcW w:type="dxa" w:w="4200"/>
          </w:tcPr>
          <w:p>
            <w:r>
              <w:rPr>
                <w:sz w:val="20"/>
                <w:szCs w:val="20"/>
              </w:rPr>
              <w:t xml:space="preserve">GitHub Pages no sabe redirigir rutas "reales" (ej. /admin) a index.html — HashRouter (#/admin) resuelve todo del lado del navegador, sin configuración especial en el hosting.</w:t>
            </w:r>
          </w:p>
        </w:tc>
      </w:tr>
      <w:tr>
        <w:tc>
          <w:tcPr>
            <w:tcW w:type="dxa" w:w="1800"/>
          </w:tcPr>
          <w:p>
            <w:r>
              <w:rPr>
                <w:sz w:val="20"/>
                <w:szCs w:val="20"/>
              </w:rPr>
              <w:t xml:space="preserve">Exportación de informes</w:t>
            </w:r>
          </w:p>
        </w:tc>
        <w:tc>
          <w:tcPr>
            <w:tcW w:type="dxa" w:w="3000"/>
          </w:tcPr>
          <w:p>
            <w:r>
              <w:rPr>
                <w:sz w:val="20"/>
                <w:szCs w:val="20"/>
              </w:rPr>
              <w:t xml:space="preserve">jsPDF, docx, ExcelJS, xlsx-js-style, JSZip</w:t>
            </w:r>
          </w:p>
        </w:tc>
        <w:tc>
          <w:tcPr>
            <w:tcW w:type="dxa" w:w="4200"/>
          </w:tcPr>
          <w:p>
            <w:r>
              <w:rPr>
                <w:sz w:val="20"/>
                <w:szCs w:val="20"/>
              </w:rPr>
              <w:t xml:space="preserve">Generar PDF/Word/Excel de los informes y respaldos ZIP directamente en el navegador, sin backend de generación de documentos.</w:t>
            </w:r>
          </w:p>
        </w:tc>
      </w:tr>
      <w:tr>
        <w:tc>
          <w:tcPr>
            <w:tcW w:type="dxa" w:w="1800"/>
          </w:tcPr>
          <w:p>
            <w:r>
              <w:rPr>
                <w:sz w:val="20"/>
                <w:szCs w:val="20"/>
              </w:rPr>
              <w:t xml:space="preserve">Hosting</w:t>
            </w:r>
          </w:p>
        </w:tc>
        <w:tc>
          <w:tcPr>
            <w:tcW w:type="dxa" w:w="3000"/>
          </w:tcPr>
          <w:p>
            <w:r>
              <w:rPr>
                <w:sz w:val="20"/>
                <w:szCs w:val="20"/>
              </w:rPr>
              <w:t xml:space="preserve">GitHub Pages + GitHub Actions</w:t>
            </w:r>
          </w:p>
        </w:tc>
        <w:tc>
          <w:tcPr>
            <w:tcW w:type="dxa" w:w="4200"/>
          </w:tcPr>
          <w:p>
            <w:r>
              <w:rPr>
                <w:sz w:val="20"/>
                <w:szCs w:val="20"/>
              </w:rPr>
              <w:t xml:space="preserve">Gratuito, y el repositorio ya vive en GitHub — cero infraestructura adicional que pagar o mantener.</w:t>
            </w:r>
          </w:p>
        </w:tc>
      </w:tr>
    </w:tbl>
    <w:p>
      <w:pPr>
        <w:pStyle w:val="Heading1"/>
        <w:spacing w:after="200" w:before="400"/>
      </w:pPr>
      <w:r>
        <w:t xml:space="preserve">3. Arquitectura general</w:t>
      </w:r>
    </w:p>
    <w:p>
      <w:pPr>
        <w:spacing w:after="160"/>
      </w:pPr>
      <w:r>
        <w:t xml:space="preserve">Vista de alto nivel:</w:t>
      </w:r>
    </w:p>
    <w:p>
      <w:pPr>
        <w:pStyle w:val="ListParagraph"/>
        <w:numPr>
          <w:ilvl w:val="0"/>
          <w:numId w:val="2"/>
        </w:numPr>
        <w:spacing w:after="80"/>
      </w:pPr>
      <w:r>
        <w:t xml:space="preserve">El navegador ejecuta la PWA completa (no hay servidor de aplicación propio).</w:t>
      </w:r>
    </w:p>
    <w:p>
      <w:pPr>
        <w:pStyle w:val="ListParagraph"/>
        <w:numPr>
          <w:ilvl w:val="0"/>
          <w:numId w:val="2"/>
        </w:numPr>
        <w:spacing w:after="80"/>
      </w:pPr>
      <w:r>
        <w:t xml:space="preserve">Toda lectura/escritura de datos va directo del navegador a Supabase (Postgres vía API REST autogenerada + funciones RPC, y Storage para fotos), protegida por RLS (sección 6).</w:t>
      </w:r>
    </w:p>
    <w:p>
      <w:pPr>
        <w:pStyle w:val="ListParagraph"/>
        <w:numPr>
          <w:ilvl w:val="0"/>
          <w:numId w:val="2"/>
        </w:numPr>
        <w:spacing w:after="80"/>
      </w:pPr>
      <w:r>
        <w:t xml:space="preserve">El hosting (GitHub Pages) solo sirve archivos estáticos (HTML/JS/CSS) — no participa en la lógica de negocio.</w:t>
      </w:r>
    </w:p>
    <w:p>
      <w:pPr>
        <w:pStyle w:val="ListParagraph"/>
        <w:numPr>
          <w:ilvl w:val="0"/>
          <w:numId w:val="2"/>
        </w:numPr>
        <w:spacing w:after="80"/>
      </w:pPr>
      <w:r>
        <w:t xml:space="preserve">Un push a la rama main dispara el build y deploy automático (GitHub Actions); la rama de trabajo activa hoy es backend-supabase (ver sección 14).</w:t>
      </w:r>
    </w:p>
    <w:p>
      <w:pPr>
        <w:pBdr>
          <w:left w:val="single" w:color="1F4E79" w:sz="12"/>
        </w:pBdr>
        <w:spacing w:after="200" w:before="100"/>
        <w:ind w:left="400"/>
      </w:pPr>
      <w:r>
        <w:rPr>
          <w:i/>
          <w:iCs/>
          <w:color w:val="595959"/>
        </w:rPr>
        <w:t xml:space="preserve">Consecuencia directa de este diseño: toda regla de negocio importante (quién puede ver/editar qué, cómo se calcula el stock) tiene que vivir en Supabase (RLS + funciones), no en el código del navegador — cualquiera puede leer el código JS de una PWA, así que la seguridad real nunca puede depender de "el botón no aparece".</w:t>
      </w:r>
    </w:p>
    <w:p>
      <w:pPr>
        <w:pStyle w:val="Heading1"/>
        <w:spacing w:after="200" w:before="400"/>
      </w:pPr>
      <w:r>
        <w:t xml:space="preserve">4. Modelo de módulos (registry pattern)</w:t>
      </w:r>
    </w:p>
    <w:p>
      <w:pPr>
        <w:spacing w:after="160"/>
      </w:pPr>
      <w:r>
        <w:t xml:space="preserve">Cada área de negocio (ATT, Preventivos, Incidencias, Inventario) es un "módulo" independiente bajo src/modules/&lt;nombre&gt;/, que se auto-registra en un registro global (src/core/registry/projectRegistry.ts) declarando su ícono, nombre, y sus rutas.</w:t>
      </w:r>
    </w:p>
    <w:p>
      <w:pPr>
        <w:spacing w:after="160"/>
      </w:pPr>
      App.tsx no necesita conocer la lista de módulos de antemano — solo recorre el registro. Agregar un módulo nuevo (como pasó con Incidencias) es escribir su carpeta y un archivo index.tsx que se registra solo; no hay que tocar el router central salvo para importarlo una vez.
    </w:p>
    <w:p>
      <w:pPr>
        <w:pStyle w:val="Heading1"/>
        <w:spacing w:after="200" w:before="400"/>
      </w:pPr>
      <w:r>
        <w:t xml:space="preserve">5. Modelo de datos</w:t>
      </w:r>
    </w:p>
    <w:p>
      <w:pPr>
        <w:pStyle w:val="Heading2"/>
        <w:spacing w:after="150" w:before="300"/>
      </w:pPr>
      <w:r>
        <w:t xml:space="preserve">5.1 Proyectos: una tabla genérica compartida</w:t>
      </w:r>
    </w:p>
    <w:p>
      <w:pPr>
        <w:spacing w:after="160"/>
      </w:pPr>
      <w:r>
        <w:t xml:space="preserve">projects es la tabla maestro para las tres áreas de negocio. En vez de tres tablas de proyecto separadas, se comparte una sola con area ('ATT'|'OyM') y subarea ('preventivo'|'incidencia', solo dentro de OyM), y cada área "cuelga" sus propias tablas 1:1 (informes+tramos+hitos+fotos para ATT; informes_preventivo+puntos para Preventivos; columnas directas + incidencia_fotos para Incidencias).</w:t>
      </w:r>
    </w:p>
    <w:p>
      <w:pPr>
        <w:spacing w:after="160"/>
      </w:pPr>
      roles, permisos (RLS), ciclo de cierre/reapertura, y asignación de equipo (project_members) son IDÉNTICOS entre las tres áreas — construirlos una sola vez sobre projects evita triplicar esa lógica. Cuando se agregó Incidencias, casi todo (cierre, equipo, observaciones) se reusó sin escribir código nuevo, precisamente por esto.
    </w:p>
    <w:p>
      <w:pPr>
        <w:pStyle w:val="Heading2"/>
        <w:spacing w:after="150" w:before="300"/>
      </w:pPr>
      <w:r>
        <w:t xml:space="preserve">5.2 Inventario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DCE6F1" w:val="clear"/>
          </w:tcPr>
          <w:p>
            <w:r>
              <w:rPr>
                <w:b/>
                <w:bCs/>
                <w:sz w:val="20"/>
                <w:szCs w:val="20"/>
              </w:rPr>
              <w:t xml:space="preserve">Tabla</w:t>
            </w:r>
          </w:p>
        </w:tc>
        <w:tc>
          <w:tcPr>
            <w:tcW w:type="dxa" w:w="6600"/>
            <w:shd w:fill="DCE6F1" w:val="clear"/>
          </w:tcPr>
          <w:p>
            <w:r>
              <w:rPr>
                <w:b/>
                <w:bCs/>
                <w:sz w:val="20"/>
                <w:szCs w:val="20"/>
              </w:rPr>
              <w:t xml:space="preserve">Qué guarda</w:t>
            </w:r>
          </w:p>
        </w:tc>
      </w:tr>
      <w:tr>
        <w:tc>
          <w:tcPr>
            <w:tcW w:type="dxa" w:w="2400"/>
          </w:tcPr>
          <w:p>
            <w:r>
              <w:rPr>
                <w:sz w:val="20"/>
                <w:szCs w:val="20"/>
              </w:rPr>
              <w:t xml:space="preserve">materiales</w:t>
            </w:r>
          </w:p>
        </w:tc>
        <w:tc>
          <w:tcPr>
            <w:tcW w:type="dxa" w:w="6600"/>
          </w:tcPr>
          <w:p>
            <w:r>
              <w:rPr>
                <w:sz w:val="20"/>
                <w:szCs w:val="20"/>
              </w:rPr>
              <w:t xml:space="preserve">Catálogo de SKUs (descripción, unidad, categoría, umbral de stock, y — nuevo — tipo de tendido/capacidad para el Estado de Pago).</w:t>
            </w:r>
          </w:p>
        </w:tc>
      </w:tr>
      <w:tr>
        <w:tc>
          <w:tcPr>
            <w:tcW w:type="dxa" w:w="2400"/>
          </w:tcPr>
          <w:p>
            <w:r>
              <w:rPr>
                <w:sz w:val="20"/>
                <w:szCs w:val="20"/>
              </w:rPr>
              <w:t xml:space="preserve">ubicaciones</w:t>
            </w:r>
          </w:p>
        </w:tc>
        <w:tc>
          <w:tcPr>
            <w:tcW w:type="dxa" w:w="6600"/>
          </w:tcPr>
          <w:p>
            <w:r>
              <w:rPr>
                <w:sz w:val="20"/>
                <w:szCs w:val="20"/>
              </w:rPr>
              <w:t xml:space="preserve">Bodegas y ubicaciones "técnico" (el stock personal de cada persona se modela como una ubicación más).</w:t>
            </w:r>
          </w:p>
        </w:tc>
      </w:tr>
      <w:tr>
        <w:tc>
          <w:tcPr>
            <w:tcW w:type="dxa" w:w="2400"/>
          </w:tcPr>
          <w:p>
            <w:r>
              <w:rPr>
                <w:sz w:val="20"/>
                <w:szCs w:val="20"/>
              </w:rPr>
              <w:t xml:space="preserve">stock</w:t>
            </w:r>
          </w:p>
        </w:tc>
        <w:tc>
          <w:tcPr>
            <w:tcW w:type="dxa" w:w="6600"/>
          </w:tcPr>
          <w:p>
            <w:r>
              <w:rPr>
                <w:sz w:val="20"/>
                <w:szCs w:val="20"/>
              </w:rPr>
              <w:t xml:space="preserve">Saldo actual (físico + digital) por ubicación+material+lote. Es un saldo VIVO, no un historial — ver limitación en sección 16.</w:t>
            </w:r>
          </w:p>
        </w:tc>
      </w:tr>
      <w:tr>
        <w:tc>
          <w:tcPr>
            <w:tcW w:type="dxa" w:w="2400"/>
          </w:tcPr>
          <w:p>
            <w:r>
              <w:rPr>
                <w:sz w:val="20"/>
                <w:szCs w:val="20"/>
              </w:rPr>
              <w:t xml:space="preserve">movimientos</w:t>
            </w:r>
          </w:p>
        </w:tc>
        <w:tc>
          <w:tcPr>
            <w:tcW w:type="dxa" w:w="6600"/>
          </w:tcPr>
          <w:p>
            <w:r>
              <w:rPr>
                <w:sz w:val="20"/>
                <w:szCs w:val="20"/>
              </w:rPr>
              <w:t xml:space="preserve">El libro mayor: cada entrada/salida/traslado/rebaja/merma/solicitud/instalado queda registrado — es la fuente de verdad y auditoría, stock es solo su resultado acumulado.</w:t>
            </w:r>
          </w:p>
        </w:tc>
      </w:tr>
      <w:tr>
        <w:tc>
          <w:tcPr>
            <w:tcW w:type="dxa" w:w="2400"/>
          </w:tcPr>
          <w:p>
            <w:r>
              <w:rPr>
                <w:sz w:val="20"/>
                <w:szCs w:val="20"/>
              </w:rPr>
              <w:t xml:space="preserve">proyecto_materiales</w:t>
            </w:r>
          </w:p>
        </w:tc>
        <w:tc>
          <w:tcPr>
            <w:tcW w:type="dxa" w:w="6600"/>
          </w:tcPr>
          <w:p>
            <w:r>
              <w:rPr>
                <w:sz w:val="20"/>
                <w:szCs w:val="20"/>
              </w:rPr>
              <w:t xml:space="preserve">Ciclo de vida del material dentro de un proyecto: entregado/instalado/devuelto/rezagado/rebajado/merma (tránsito se calcula, no se guarda).</w:t>
            </w:r>
          </w:p>
        </w:tc>
      </w:tr>
      <w:tr>
        <w:tc>
          <w:tcPr>
            <w:tcW w:type="dxa" w:w="2400"/>
          </w:tcPr>
          <w:p>
            <w:r>
              <w:rPr>
                <w:sz w:val="20"/>
                <w:szCs w:val="20"/>
              </w:rPr>
              <w:t xml:space="preserve">conteos / conteo_lineas</w:t>
            </w:r>
          </w:p>
        </w:tc>
        <w:tc>
          <w:tcPr>
            <w:tcW w:type="dxa" w:w="6600"/>
          </w:tcPr>
          <w:p>
            <w:r>
              <w:rPr>
                <w:sz w:val="20"/>
                <w:szCs w:val="20"/>
              </w:rPr>
              <w:t xml:space="preserve">Reconciliación física de bodega — "foto" del sistema al abrir, comparado contra lo contado al cerrar.</w:t>
            </w:r>
          </w:p>
        </w:tc>
      </w:tr>
      <w:tr>
        <w:tc>
          <w:tcPr>
            <w:tcW w:type="dxa" w:w="2400"/>
          </w:tcPr>
          <w:p>
            <w:r>
              <w:rPr>
                <w:sz w:val="20"/>
                <w:szCs w:val="20"/>
              </w:rPr>
              <w:t xml:space="preserve">eventos_inventario</w:t>
            </w:r>
          </w:p>
        </w:tc>
        <w:tc>
          <w:tcPr>
            <w:tcW w:type="dxa" w:w="6600"/>
          </w:tcPr>
          <w:p>
            <w:r>
              <w:rPr>
                <w:sz w:val="20"/>
                <w:szCs w:val="20"/>
              </w:rPr>
              <w:t xml:space="preserve">Diferencias a investigar, generadas por un conteo con descuadre o por una instalación sin stock suficiente.</w:t>
            </w:r>
          </w:p>
        </w:tc>
      </w:tr>
    </w:tbl>
    <w:p>
      <w:pPr>
        <w:pStyle w:val="Heading2"/>
        <w:spacing w:after="150" w:before="300"/>
      </w:pPr>
      <w:r>
        <w:t xml:space="preserve">5.3 Estado de Pago / Catálogo LPU (en desarrollo)</w:t>
      </w:r>
    </w:p>
    <w:p>
      <w:pPr>
        <w:spacing w:after="160"/>
      </w:pPr>
      <w:r>
        <w:t xml:space="preserve">Tablas nuevas: lpu_codigos + lpu_precios_zona (catálogo de precios de Entel por zona, importado tal cual del Excel real de facturación) y lpu_ito_servicios (tarifas de supervisión/ITO, con una forma distinta al catálogo principal). Sobre eso, dos tablas de mapeo — lpu_material_map (material → código LPU sugerido, con un factor de cantidad) y lpu_tendido_map (tipo de tendido + capacidad → código) — alimentan la futura generación automática de líneas del EP. Finalmente ep_informes/ep_lineas guardarán el EP ya revisado y confirmado por Oficina, con precio y descripción CONGELADOS al momento de guardar.</w:t>
      </w:r>
    </w:p>
    <w:p>
      <w:pPr>
        <w:spacing w:after="160"/>
      </w:pPr>
      los precios LPU se reajustan con el tiempo — si un EP ya enviado a Entel leyera el precio en vivo del catálogo, un reajuste posterior alteraría silenciosamente un cobro ya facturado. Por eso ep_lineas copia el valor, y no depende de un join a lpu_codigos para mostrarse.
    </w:p>
    <w:p>
      <w:pPr>
        <w:spacing w:after="160"/>
      </w:pPr>
      la propuesta automática (a partir de tramos, materiales instalados y los mapeos) se recalcula en vivo cada vez que se pide — nunca se persiste — así, si el catálogo de precios cambia o el JP corrige un mapeo, el avance siempre refleja el estado actual de los datos, no una versión congelada a medio camino.
    </w:p>
    <w:p>
      <w:r>
        <w:br w:type="page"/>
      </w:r>
    </w:p>
    <w:p>
      <w:pPr>
        <w:pStyle w:val="Heading1"/>
        <w:spacing w:after="200" w:before="400"/>
      </w:pPr>
      <w:r>
        <w:t xml:space="preserve">6. Modelo de seguridad (roles y RLS)</w:t>
      </w:r>
    </w:p>
    <w:p>
      <w:pPr>
        <w:spacing w:after="160"/>
      </w:pPr>
      <w:r>
        <w:t xml:space="preserve">Cuatro roles: admin, jp ("Oficina"), tecnico ("Terreno"), log ("Logística", con los mismos privilegios que jp por decisión explícita). Se implementan con 4 funciones de Postgres, reusadas en TODAS las políticas de seguridad de fila (RLS) de cada tabla: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DCE6F1" w:val="clear"/>
          </w:tcPr>
          <w:p>
            <w:r>
              <w:rPr>
                <w:b/>
                <w:bCs/>
                <w:sz w:val="20"/>
                <w:szCs w:val="20"/>
              </w:rPr>
              <w:t xml:space="preserve">Función</w:t>
            </w:r>
          </w:p>
        </w:tc>
        <w:tc>
          <w:tcPr>
            <w:tcW w:type="dxa" w:w="6000"/>
            <w:shd w:fill="DCE6F1" w:val="clear"/>
          </w:tcPr>
          <w:p>
            <w:r>
              <w:rPr>
                <w:b/>
                <w:bCs/>
                <w:sz w:val="20"/>
                <w:szCs w:val="20"/>
              </w:rPr>
              <w:t xml:space="preserve">Qué evalúa</w:t>
            </w:r>
          </w:p>
        </w:tc>
      </w:tr>
      <w:tr>
        <w:tc>
          <w:tcPr>
            <w:tcW w:type="dxa" w:w="3000"/>
          </w:tcPr>
          <w:p>
            <w:r>
              <w:rPr>
                <w:sz w:val="20"/>
                <w:szCs w:val="20"/>
              </w:rPr>
              <w:t xml:space="preserve">is_admin()</w:t>
            </w:r>
          </w:p>
        </w:tc>
        <w:tc>
          <w:tcPr>
            <w:tcW w:type="dxa" w:w="6000"/>
          </w:tcPr>
          <w:p>
            <w:r>
              <w:rPr>
                <w:sz w:val="20"/>
                <w:szCs w:val="20"/>
              </w:rPr>
              <w:t xml:space="preserve">rol = admin</w:t>
            </w:r>
          </w:p>
        </w:tc>
      </w:tr>
      <w:tr>
        <w:tc>
          <w:tcPr>
            <w:tcW w:type="dxa" w:w="3000"/>
          </w:tcPr>
          <w:p>
            <w:r>
              <w:rPr>
                <w:sz w:val="20"/>
                <w:szCs w:val="20"/>
              </w:rPr>
              <w:t xml:space="preserve">is_jp_or_admin()</w:t>
            </w:r>
          </w:p>
        </w:tc>
        <w:tc>
          <w:tcPr>
            <w:tcW w:type="dxa" w:w="6000"/>
          </w:tcPr>
          <w:p>
            <w:r>
              <w:rPr>
                <w:sz w:val="20"/>
                <w:szCs w:val="20"/>
              </w:rPr>
              <w:t xml:space="preserve">rol en (admin, jp, log)</w:t>
            </w:r>
          </w:p>
        </w:tc>
      </w:tr>
      <w:tr>
        <w:tc>
          <w:tcPr>
            <w:tcW w:type="dxa" w:w="3000"/>
          </w:tcPr>
          <w:p>
            <w:r>
              <w:rPr>
                <w:sz w:val="20"/>
                <w:szCs w:val="20"/>
              </w:rPr>
              <w:t xml:space="preserve">can_move_inventory()</w:t>
            </w:r>
          </w:p>
        </w:tc>
        <w:tc>
          <w:tcPr>
            <w:tcW w:type="dxa" w:w="6000"/>
          </w:tcPr>
          <w:p>
            <w:r>
              <w:rPr>
                <w:sz w:val="20"/>
                <w:szCs w:val="20"/>
              </w:rPr>
              <w:t xml:space="preserve">rol en (admin, jp, log) — quién puede tocar stock/movimientos/conteo</w:t>
            </w:r>
          </w:p>
        </w:tc>
      </w:tr>
      <w:tr>
        <w:tc>
          <w:tcPr>
            <w:tcW w:type="dxa" w:w="3000"/>
          </w:tcPr>
          <w:p>
            <w:r>
              <w:rPr>
                <w:sz w:val="20"/>
                <w:szCs w:val="20"/>
              </w:rPr>
              <w:t xml:space="preserve">is_member(proyecto)</w:t>
            </w:r>
          </w:p>
        </w:tc>
        <w:tc>
          <w:tcPr>
            <w:tcW w:type="dxa" w:w="6000"/>
          </w:tcPr>
          <w:p>
            <w:r>
              <w:rPr>
                <w:sz w:val="20"/>
                <w:szCs w:val="20"/>
              </w:rPr>
              <w:t xml:space="preserve">el usuario está en project_members de ese proyecto — así un técnico solo ve/edita SUS proyectos</w:t>
            </w:r>
          </w:p>
        </w:tc>
      </w:tr>
    </w:tbl>
    <w:p>
      <w:pPr>
        <w:spacing w:after="160"/>
      </w:pPr>
      la Publishable (anon) key de Supabase es pública por diseño (viaja en el bundle del navegador) — cualquiera puede llamar a la API REST directamente con ella, sin pasar por la interfaz. Si el permiso solo viviera en el código de React ("no mostrar el botón"), cualquier persona con las herramientas de desarrollador del navegador podría saltárselo. RLS lo hace cumplir dentro de la base de datos misma, sin importar desde dónde llegue la petición.
    </w:p>
    <w:p>
      <w:pPr>
        <w:pStyle w:val="Heading1"/>
        <w:spacing w:after="200" w:before="400"/>
      </w:pPr>
      <w:r>
        <w:t xml:space="preserve">7. Lógica de negocio en la base de datos (funciones RPC)</w:t>
      </w:r>
    </w:p>
    <w:p>
      <w:pPr>
        <w:spacing w:after="160"/>
      </w:pPr>
      <w:r>
        <w:t xml:space="preserve">Operaciones donde varias tablas deben quedar consistentes entre sí (ej. registrar un movimiento) NO viven como varios pasos separados en el cliente — viven como una sola función de Postgres security definer, invocada por RPC.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DCE6F1" w:val="clear"/>
          </w:tcPr>
          <w:p>
            <w:r>
              <w:rPr>
                <w:b/>
                <w:bCs/>
                <w:sz w:val="20"/>
                <w:szCs w:val="20"/>
              </w:rPr>
              <w:t xml:space="preserve">Función</w:t>
            </w:r>
          </w:p>
        </w:tc>
        <w:tc>
          <w:tcPr>
            <w:tcW w:type="dxa" w:w="5800"/>
            <w:shd w:fill="DCE6F1" w:val="clear"/>
          </w:tcPr>
          <w:p>
            <w:r>
              <w:rPr>
                <w:b/>
                <w:bCs/>
                <w:sz w:val="20"/>
                <w:szCs w:val="20"/>
              </w:rPr>
              <w:t xml:space="preserve">Para qué</w:t>
            </w:r>
          </w:p>
        </w:tc>
      </w:tr>
      <w:tr>
        <w:tc>
          <w:tcPr>
            <w:tcW w:type="dxa" w:w="3200"/>
          </w:tcPr>
          <w:p>
            <w:r>
              <w:rPr>
                <w:sz w:val="20"/>
                <w:szCs w:val="20"/>
              </w:rPr>
              <w:t xml:space="preserve">registrar_movimiento</w:t>
            </w:r>
          </w:p>
        </w:tc>
        <w:tc>
          <w:tcPr>
            <w:tcW w:type="dxa" w:w="5800"/>
          </w:tcPr>
          <w:p>
            <w:r>
              <w:rPr>
                <w:sz w:val="20"/>
                <w:szCs w:val="20"/>
              </w:rPr>
              <w:t xml:space="preserve">El corazón del inventario: ajusta stock, escribe el movimiento, y actualiza proyecto_materiales — todo en una transacción. Incluye la prioridad de origen (propio → equipo → forzar negativo con aviso) al marcar "Instalado".</w:t>
            </w:r>
          </w:p>
        </w:tc>
      </w:tr>
      <w:tr>
        <w:tc>
          <w:tcPr>
            <w:tcW w:type="dxa" w:w="3200"/>
          </w:tcPr>
          <w:p>
            <w:r>
              <w:rPr>
                <w:sz w:val="20"/>
                <w:szCs w:val="20"/>
              </w:rPr>
              <w:t xml:space="preserve">abrir_conteo / cerrar_conteo / agregar_linea_conteo / actualizar_linea_conteo</w:t>
            </w:r>
          </w:p>
        </w:tc>
        <w:tc>
          <w:tcPr>
            <w:tcW w:type="dxa" w:w="5800"/>
          </w:tcPr>
          <w:p>
            <w:r>
              <w:rPr>
                <w:sz w:val="20"/>
                <w:szCs w:val="20"/>
              </w:rPr>
              <w:t xml:space="preserve">Ciclo completo de reconciliación de bodega.</w:t>
            </w:r>
          </w:p>
        </w:tc>
      </w:tr>
      <w:tr>
        <w:tc>
          <w:tcPr>
            <w:tcW w:type="dxa" w:w="3200"/>
          </w:tcPr>
          <w:p>
            <w:r>
              <w:rPr>
                <w:sz w:val="20"/>
                <w:szCs w:val="20"/>
              </w:rPr>
              <w:t xml:space="preserve">kpi_proyectos_detalle / kpi_materiales</w:t>
            </w:r>
          </w:p>
        </w:tc>
        <w:tc>
          <w:tcPr>
            <w:tcW w:type="dxa" w:w="5800"/>
          </w:tcPr>
          <w:p>
            <w:r>
              <w:rPr>
                <w:sz w:val="20"/>
                <w:szCs w:val="20"/>
              </w:rPr>
              <w:t xml:space="preserve">Agregación del Panel de KPI sobre TODO el histórico — se autorizan ellas mismas con is_jp_or_admin() porque, a diferencia de la RLS normal por fila, necesitan ver más allá de lo que vería un técnico.</w:t>
            </w:r>
          </w:p>
        </w:tc>
      </w:tr>
      <w:tr>
        <w:tc>
          <w:tcPr>
            <w:tcW w:type="dxa" w:w="3200"/>
          </w:tcPr>
          <w:p>
            <w:r>
              <w:rPr>
                <w:sz w:val="20"/>
                <w:szCs w:val="20"/>
              </w:rPr>
              <w:t xml:space="preserve">corregir_proyecto_material</w:t>
            </w:r>
          </w:p>
        </w:tc>
        <w:tc>
          <w:tcPr>
            <w:tcW w:type="dxa" w:w="5800"/>
          </w:tcPr>
          <w:p>
            <w:r>
              <w:rPr>
                <w:sz w:val="20"/>
                <w:szCs w:val="20"/>
              </w:rPr>
              <w:t xml:space="preserve">Sobreescritura directa de un número mal tecleado, SIN generar movimiento — deliberadamente separada del camino normal para no confundir una corrección de tipeo con una operación real de inventario.</w:t>
            </w:r>
          </w:p>
        </w:tc>
      </w:tr>
    </w:tbl>
    <w:p>
      <w:pPr>
        <w:spacing w:after="160"/>
      </w:pPr>
      (1) atomicidad — varias tablas deben cuadrar siempre, y solo Postgres puede garantizar eso ante una conexión que se corta a medio camino; (2) permisos — un técnico necesita que SU movimiento ajuste el stock de una bodega que la RLS normal no lo dejaría tocar directamente; la función, ejecutada con los privilegios de su dueño (security definer), hace esa excepción de forma controlada y auditable, sin abrir la tabla stock entera a escritura directa.
    </w:p>
    <w:p>
      <w:pPr>
        <w:pStyle w:val="Heading1"/>
        <w:spacing w:after="200" w:before="400"/>
      </w:pPr>
      <w:r>
        <w:t xml:space="preserve">8. Patrón "online-first" del store</w:t>
      </w:r>
    </w:p>
    <w:p>
      <w:pPr>
        <w:spacing w:after="160"/>
      </w:pPr>
      <w:r>
        <w:t xml:space="preserve">Cada módulo (ATT, Preventivos, Incidencias) sigue el mismo patrón: los campos se editan 100% en memoria (Zustand) de forma instantánea, sin esperar red en cada tecla. Un hook de autoguardado con debounce (≈800ms de inactividad) sube los cambios a Supabase por detrás. Las fotos se guardan primero en IndexedDB (por si no hay red) y se suben a Storage en cuanto se puede.</w:t>
      </w:r>
    </w:p>
    <w:p>
      <w:pPr>
        <w:spacing w:after="160"/>
      </w:pPr>
      la app se usa en terreno, con conexión intermitente. Bloquear la edición hasta confirmar guardado en el servidor haría el sitio inutilizable en esas condiciones. El registro se identifica primero con un id local (nanoid) y se "promueve" al uuid real del servidor en el primer guardado exitoso — permitiendo crear un proyecto sin conexión y sincronizarlo después.
    </w:p>
    <w:p>
      <w:pPr>
        <w:pBdr>
          <w:left w:val="single" w:color="1F4E79" w:sz="12"/>
        </w:pBdr>
        <w:spacing w:after="200" w:before="100"/>
        <w:ind w:left="400"/>
      </w:pPr>
      <w:r>
        <w:rPr>
          <w:i/>
          <w:iCs/>
          <w:color w:val="595959"/>
        </w:rPr>
        <w:t xml:space="preserve">Detalle de diseño no trivial: el store guarda syncedAt (el último updatedAt recibido del servidor) para distinguir "esto llegó de una sincronización" de "el usuario escribió algo" — sin eso, cada vez que se abre un informe ya guardado se dispararía un guardado espurio.</w:t>
      </w:r>
    </w:p>
    <w:p>
      <w:pPr>
        <w:pStyle w:val="Heading1"/>
        <w:spacing w:after="200" w:before="400"/>
      </w:pPr>
      <w:r>
        <w:t xml:space="preserve">9. Fotos y almacenamiento</w:t>
      </w:r>
    </w:p>
    <w:p>
      <w:pPr>
        <w:spacing w:after="160"/>
      </w:pPr>
      <w:r>
        <w:t xml:space="preserve">Las fotos viven en Supabase Storage (bucket "fotos"), no en la base de datos — solo se guarda la ruta (storagePath). La lectura usa URLs firmadas (temporales), nunca URLs públicas permanentes.</w:t>
      </w:r>
    </w:p>
    <w:p>
      <w:pPr>
        <w:spacing w:after="160"/>
      </w:pPr>
      las fotos de un proyecto pueden ser información sensible (ubicaciones, instalaciones de clientes) — una URL pública indexable no es aceptable. Las URLs firmadas expiran y se piden bajo la misma RLS que protege el resto del proyecto.
    </w:p>
    <w:p>
      <w:pPr>
        <w:spacing w:after="160"/>
      </w:pPr>
      <w:r>
        <w:t xml:space="preserve">La opción "Descargar y borrar" (por proyecto cerrado) solo elimina los OBJETOS de Storage, nunca la fila del proyecto ni su historial de movimientos — porque las fotos son ~99.8% del peso real de un proyecto, y el historial de materiales es liviano y vale la pena conservar siempre.</w:t>
      </w:r>
    </w:p>
    <w:p>
      <w:pPr>
        <w:pStyle w:val="Heading1"/>
        <w:spacing w:after="200" w:before="400"/>
      </w:pPr>
      <w:r>
        <w:t xml:space="preserve">10. PWA y versión de bundle</w:t>
      </w:r>
    </w:p>
    <w:p>
      <w:pPr>
        <w:spacing w:after="160"/>
      </w:pPr>
      <w:r>
        <w:t xml:space="preserve">El service worker (vite-plugin-pwa, modo autoUpdate) cachea la app para que funcione con mala conexión. Por convención, APP_VERSION (vite.config.ts) se sube en cada cambio visible y se muestra junto al logo — es la única forma confiable de confirmar que una app ya instalada cargó el bundle nuevo, ya que el service worker puede seguir sirviendo una versión vieja hasta que la app se cierra por completo.</w:t>
      </w:r>
    </w:p>
    <w:p>
      <w:pPr>
        <w:pStyle w:val="Heading1"/>
        <w:spacing w:after="200" w:before="400"/>
      </w:pPr>
      <w:r>
        <w:t xml:space="preserve">11. Convenciones de migraciones</w:t>
      </w:r>
    </w:p>
    <w:p>
      <w:pPr>
        <w:pStyle w:val="ListParagraph"/>
        <w:numPr>
          <w:ilvl w:val="0"/>
          <w:numId w:val="2"/>
        </w:numPr>
        <w:spacing w:after="80"/>
      </w:pPr>
      <w:r>
        <w:t xml:space="preserve">Cada cambio de esquema es un archivo nuevo y numerado en supabase/migrations/ — nunca se edita un archivo ya aplicado en producción, porque no hay forma de saber si ya corrió o no en el proyecto Supabase compartido.</w:t>
      </w:r>
    </w:p>
    <w:p>
      <w:pPr>
        <w:pStyle w:val="ListParagraph"/>
        <w:numPr>
          <w:ilvl w:val="0"/>
          <w:numId w:val="2"/>
        </w:numPr>
        <w:spacing w:after="80"/>
      </w:pPr>
      <w:r>
        <w:t xml:space="preserve">Toda tabla/función nueva necesita GRANT explícito tanto para authenticated como para service_role — Supabase no da estos permisos automáticamente incluso cuando la RLS ya los autorizaría; olvidarlo produce errores de "permission denied" en scripts que usan la clave de servicio.</w:t>
      </w:r>
    </w:p>
    <w:p>
      <w:pPr>
        <w:pStyle w:val="ListParagraph"/>
        <w:numPr>
          <w:ilvl w:val="0"/>
          <w:numId w:val="2"/>
        </w:numPr>
        <w:spacing w:after="80"/>
      </w:pPr>
      <w:r>
        <w:t xml:space="preserve">En funciones plpgsql con RETURNS TABLE, cualquier columna sin calificar que coincida con el nombre de una columna de salida es ambigua para Postgres — la convención es alias explícitos por CTE (ag_material_id, mv_ubicacion_nombre, etc.), no nombres "pelados".</w:t>
      </w:r>
    </w:p>
    <w:p>
      <w:pPr>
        <w:pBdr>
          <w:left w:val="single" w:color="1F4E79" w:sz="12"/>
        </w:pBdr>
        <w:spacing w:after="200" w:before="100"/>
        <w:ind w:left="400"/>
      </w:pPr>
      <w:r>
        <w:rPr>
          <w:i/>
          <w:iCs/>
          <w:color w:val="595959"/>
        </w:rPr>
        <w:t xml:space="preserve">Ejemplo real de por qué esto importa: projects.jefe_proyecto se agregó al archivo de referencia 0001_init.sql pero nunca se corrió como ALTER TABLE contra la base ya existente — el síntoma fue que CUALQUIER guardado de proyecto fallaba, no solo lo nuevo. Editar el archivo de esquema no basta: hay que aplicar el cambio real contra la base de datos compartida.</w:t>
      </w:r>
    </w:p>
    <w:p>
      <w:pPr>
        <w:pStyle w:val="Heading1"/>
        <w:spacing w:after="200" w:before="400"/>
      </w:pPr>
      <w:r>
        <w:t xml:space="preserve">12. Componentes de interfaz compartidos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DCE6F1" w:val="clear"/>
          </w:tcPr>
          <w:p>
            <w:r>
              <w:rPr>
                <w:b/>
                <w:bCs/>
                <w:sz w:val="20"/>
                <w:szCs w:val="20"/>
              </w:rPr>
              <w:t xml:space="preserve">Componente</w:t>
            </w:r>
          </w:p>
        </w:tc>
        <w:tc>
          <w:tcPr>
            <w:tcW w:type="dxa" w:w="6400"/>
            <w:shd w:fill="DCE6F1" w:val="clear"/>
          </w:tcPr>
          <w:p>
            <w:r>
              <w:rPr>
                <w:b/>
                <w:bCs/>
                <w:sz w:val="20"/>
                <w:szCs w:val="20"/>
              </w:rPr>
              <w:t xml:space="preserve">Problema que resuelve</w:t>
            </w:r>
          </w:p>
        </w:tc>
      </w:tr>
      <w:tr>
        <w:tc>
          <w:tcPr>
            <w:tcW w:type="dxa" w:w="2600"/>
          </w:tcPr>
          <w:p>
            <w:r>
              <w:rPr>
                <w:sz w:val="20"/>
                <w:szCs w:val="20"/>
              </w:rPr>
              <w:t xml:space="preserve">ColumnHeader&lt;K&gt;</w:t>
            </w:r>
          </w:p>
        </w:tc>
        <w:tc>
          <w:tcPr>
            <w:tcW w:type="dxa" w:w="6400"/>
          </w:tcPr>
          <w:p>
            <w:r>
              <w:rPr>
                <w:sz w:val="20"/>
                <w:szCs w:val="20"/>
              </w:rPr>
              <w:t xml:space="preserve">Orden y filtro (tipo Google Sheets: checklist + buscador) reusado en las tablas de Inventario y del Panel de KPI — evita reimplementar la misma UI de tabla en cada pantalla nueva.</w:t>
            </w:r>
          </w:p>
        </w:tc>
      </w:tr>
      <w:tr>
        <w:tc>
          <w:tcPr>
            <w:tcW w:type="dxa" w:w="2600"/>
          </w:tcPr>
          <w:p>
            <w:r>
              <w:rPr>
                <w:sz w:val="20"/>
                <w:szCs w:val="20"/>
              </w:rPr>
              <w:t xml:space="preserve">MaterialSelect / LpuCodigoSelect</w:t>
            </w:r>
          </w:p>
        </w:tc>
        <w:tc>
          <w:tcPr>
            <w:tcW w:type="dxa" w:w="6400"/>
          </w:tcPr>
          <w:p>
            <w:r>
              <w:rPr>
                <w:sz w:val="20"/>
                <w:szCs w:val="20"/>
              </w:rPr>
              <w:t xml:space="preserve">Selector con buscador para catálogos de cientos de filas (materiales, códigos LPU) donde un &lt;select&gt; nativo es impráctico.</w:t>
            </w:r>
          </w:p>
        </w:tc>
      </w:tr>
      <w:tr>
        <w:tc>
          <w:tcPr>
            <w:tcW w:type="dxa" w:w="2600"/>
          </w:tcPr>
          <w:p>
            <w:r>
              <w:rPr>
                <w:sz w:val="20"/>
                <w:szCs w:val="20"/>
              </w:rPr>
              <w:t xml:space="preserve">UbicacionSelect / LoteSelect</w:t>
            </w:r>
          </w:p>
        </w:tc>
        <w:tc>
          <w:tcPr>
            <w:tcW w:type="dxa" w:w="6400"/>
          </w:tcPr>
          <w:p>
            <w:r>
              <w:rPr>
                <w:sz w:val="20"/>
                <w:szCs w:val="20"/>
              </w:rPr>
              <w:t xml:space="preserve">Igual, pero para bodegas (con opción de crear una nueva sin salir del formulario) y lotes (mostrando disponibilidad real).</w:t>
            </w:r>
          </w:p>
        </w:tc>
      </w:tr>
      <w:tr>
        <w:tc>
          <w:tcPr>
            <w:tcW w:type="dxa" w:w="2600"/>
          </w:tcPr>
          <w:p>
            <w:r>
              <w:rPr>
                <w:sz w:val="20"/>
                <w:szCs w:val="20"/>
              </w:rPr>
              <w:t xml:space="preserve">useFileDrop</w:t>
            </w:r>
          </w:p>
        </w:tc>
        <w:tc>
          <w:tcPr>
            <w:tcW w:type="dxa" w:w="6400"/>
          </w:tcPr>
          <w:p>
            <w:r>
              <w:rPr>
                <w:sz w:val="20"/>
                <w:szCs w:val="20"/>
              </w:rPr>
              <w:t xml:space="preserve">Arrastrar-y-soltar reusado en los 7 puntos donde se sube un archivo, sin duplicar la lógica de dragenter/dragleave en cada uno.</w:t>
            </w:r>
          </w:p>
        </w:tc>
      </w:tr>
    </w:tbl>
    <w:p>
      <w:pPr>
        <w:spacing w:after="160"/>
      </w:pPr>
      los menús desplegables de estos componentes se "portan" a document.body con position:fixed en vez de vivir dentro de su contenedor — porque las tablas usan overflow-x-auto (para permitir scroll horizontal), y esa misma propiedad CSS fuerza overflow-y a "auto" también, recortando cualquier menú que se saliera del contenedor.
    </w:p>
    <w:p>
      <w:r>
        <w:br w:type="page"/>
      </w:r>
    </w:p>
    <w:p>
      <w:pPr>
        <w:pStyle w:val="Heading1"/>
        <w:spacing w:after="200" w:before="400"/>
      </w:pPr>
      <w:r>
        <w:t xml:space="preserve">13. Decisiones de diseño relevantes (con su justificación)</w:t>
      </w:r>
    </w:p>
    <w:p>
      <w:pPr>
        <w:pStyle w:val="Heading3"/>
        <w:spacing w:after="100" w:before="200"/>
      </w:pPr>
      <w:r>
        <w:t xml:space="preserve">Incidencias como subárea de OyM, no un área nueva</w:t>
      </w:r>
    </w:p>
    <w:p>
      <w:pPr>
        <w:spacing w:after="160"/>
      </w:pPr>
      <w:r>
        <w:t xml:space="preserve">Se agregó projects.subarea ('preventivo'|'incidencia') en vez de un tercer valor de area, porque area ya es usada por movimientos.area para reportar consumo — cambiarla habría significado tocar esa lógica ya construida. Además, permite que Incidencias reuse toda la infraestructura de OyM (roles, cierre, RLS) sin modificarla.</w:t>
      </w:r>
    </w:p>
    <w:p>
      <w:pPr>
        <w:pStyle w:val="Heading3"/>
        <w:spacing w:after="100" w:before="200"/>
      </w:pPr>
      <w:r>
        <w:t xml:space="preserve">"Cerrar" en vez de "borrar" para la mayoría de los roles</w:t>
      </w:r>
    </w:p>
    <w:p>
      <w:pPr>
        <w:spacing w:after="160"/>
      </w:pPr>
      <w:r>
        <w:t xml:space="preserve">Cerrar un proyecto (estado='cerrado') es reversible y no toca ningún dato; borrarlo de verdad es exclusivo de admin y es irreversible. Esto evita que un error de un técnico o de Oficina destruya historial real, mientras sigue existiendo una vía de limpieza real para proyectos creados por error.</w:t>
      </w:r>
    </w:p>
    <w:p>
      <w:pPr>
        <w:pStyle w:val="Heading3"/>
        <w:spacing w:after="100" w:before="200"/>
      </w:pPr>
      <w:r>
        <w:t xml:space="preserve">Merma como tipo de movimiento propio, no un cálculo derivado</w:t>
      </w:r>
    </w:p>
    <w:p>
      <w:pPr>
        <w:spacing w:after="160"/>
      </w:pPr>
      <w:r>
        <w:t xml:space="preserve">Se distinguió explícitamente de "Rebajado" (baja contable SAP, no toca stock físico) porque son dos hechos de negocio distintos — material perdido/desechado de verdad vs. un ajuste contable — y mezclarlos habría hecho poco confiable cualquier reporte de consumo real de material.</w:t>
      </w:r>
    </w:p>
    <w:p>
      <w:pPr>
        <w:pStyle w:val="Heading3"/>
        <w:spacing w:after="100" w:before="200"/>
      </w:pPr>
      <w:r>
        <w:t xml:space="preserve">Prioridad de origen al marcar "Instalado" (propio → equipo → forzar negativo)</w:t>
      </w:r>
    </w:p>
    <w:p>
      <w:pPr>
        <w:spacing w:after="160"/>
      </w:pPr>
      <w:r>
        <w:t xml:space="preserve">En vez de bloquear al técnico cuando su stock personal no alcanza, el sistema primero busca si un compañero de equipo en el mismo proyecto sí tiene stock, y solo si nadie alcanza, fuerza el registro en negativo y lo marca para revisión. La alternativa (bloquear el registro) habría dejado al técnico sin poder documentar su trabajo en terreno por un problema de logística que no depende de él.</w:t>
      </w:r>
    </w:p>
    <w:p>
      <w:pPr>
        <w:pStyle w:val="Heading3"/>
        <w:spacing w:after="100" w:before="200"/>
      </w:pPr>
      <w:r>
        <w:t xml:space="preserve">Panel de KPI: agregación en Postgres, no en el cliente</w:t>
      </w:r>
    </w:p>
    <w:p>
      <w:pPr>
        <w:spacing w:after="160"/>
      </w:pPr>
      <w:r>
        <w:t xml:space="preserve">Con miles de movimientos históricos, traer todo al navegador para sumar ahí sería lento y expondría más datos de los necesarios. Las funciones kpi_* agregan del lado del servidor y devuelven solo el resultado ya calculado.</w:t>
      </w:r>
    </w:p>
    <w:p>
      <w:pPr>
        <w:pStyle w:val="Heading1"/>
        <w:spacing w:after="200" w:before="400"/>
      </w:pPr>
      <w:r>
        <w:t xml:space="preserve">14. Despliegue</w:t>
      </w:r>
    </w:p>
    <w:p>
      <w:pPr>
        <w:spacing w:after="160"/>
      </w:pPr>
      <w:r>
        <w:t xml:space="preserve">GitHub Actions (.github/workflows/deploy.yml) construye la app (npm ci &amp;&amp; npm run build) y la publica en GitHub Pages en cada push a main. HashRouter se eligió específicamente porque GitHub Pages no soporta redirigir cualquier ruta a index.html sin configuración adicional — con rutas "de hash" (#/admin), toda la navegación la resuelve el navegador, sin pedirle nada al hosting.</w:t>
      </w:r>
    </w:p>
    <w:p>
      <w:pPr>
        <w:pBdr>
          <w:left w:val="single" w:color="1F4E79" w:sz="12"/>
        </w:pBdr>
        <w:spacing w:after="200" w:before="100"/>
        <w:ind w:left="400"/>
      </w:pPr>
      <w:r>
        <w:rPr>
          <w:i/>
          <w:iCs/>
          <w:color w:val="595959"/>
        </w:rPr>
        <w:t xml:space="preserve">Importante: main hoy sigue siendo una versión anterior sin login — toda la funcionalidad descrita en este documento vive en la rama backend-supabase, a la espera de un "cutover" coordinado (ver Documentación Formal del Proyecto, sección de hoja de ruta).</w:t>
      </w:r>
    </w:p>
    <w:p>
      <w:pPr>
        <w:pStyle w:val="Heading1"/>
        <w:spacing w:after="200" w:before="400"/>
      </w:pPr>
      <w:r>
        <w:t xml:space="preserve">15. Limitaciones conocidas y deuda técnica</w:t>
      </w:r>
    </w:p>
    <w:p>
      <w:pPr>
        <w:pStyle w:val="ListParagraph"/>
        <w:numPr>
          <w:ilvl w:val="0"/>
          <w:numId w:val="2"/>
        </w:numPr>
        <w:spacing w:after="80"/>
      </w:pPr>
      <w:r>
        <w:t xml:space="preserve">stock es un saldo vivo, sin historial por fecha — no es posible reconstruir con exactitud el saldo de bodega de un mes pasado; por eso el Panel de KPI solo muestra Físico/Digital cuando el rango de fechas llega hasta hoy.</w:t>
      </w:r>
    </w:p>
    <w:p>
      <w:pPr>
        <w:pStyle w:val="ListParagraph"/>
        <w:numPr>
          <w:ilvl w:val="0"/>
          <w:numId w:val="2"/>
        </w:numPr>
        <w:spacing w:after="80"/>
      </w:pPr>
      <w:r>
        <w:t xml:space="preserve">getResumenProyecto y getTecnicoLedger calculan "tránsito" con fórmulas escritas por separado (una por función) — funcionalmente consistentes hoy, pero no comparten una única definición, lo que exige actualizar ambas si la fórmula cambia.</w:t>
      </w:r>
    </w:p>
    <w:p>
      <w:pPr>
        <w:pStyle w:val="ListParagraph"/>
        <w:numPr>
          <w:ilvl w:val="0"/>
          <w:numId w:val="2"/>
        </w:numPr>
        <w:spacing w:after="80"/>
      </w:pPr>
      <w:r>
        <w:t xml:space="preserve">materiales.categoria es texto libre, sin una taxonomía cerrada — el mapeo de qué material es "cable" (para el Estado de Pago) depende hoy de que el admin lo identifique manualmente, no de un filtro automático confiable.</w:t>
      </w:r>
    </w:p>
    <w:p>
      <w:pPr>
        <w:pStyle w:val="ListParagraph"/>
        <w:numPr>
          <w:ilvl w:val="0"/>
          <w:numId w:val="2"/>
        </w:numPr>
        <w:spacing w:after="80"/>
      </w:pPr>
      <w:r>
        <w:t xml:space="preserve">La cuenta de invitado (modo demo) es una cuenta real y compartida — cambiar su rol por accidente durante una prueba puede romper el acceso de invitado hasta notarlo.</w:t>
      </w:r>
    </w:p>
    <w:p>
      <w:pPr>
        <w:pStyle w:val="ListParagraph"/>
        <w:numPr>
          <w:ilvl w:val="0"/>
          <w:numId w:val="2"/>
        </w:numPr>
        <w:spacing w:after="80"/>
      </w:pPr>
      <w:r>
        <w:t xml:space="preserve">No existe todavía una cuenta de prueba con rol admin en el entorno de desarrollo — algunas pantallas (Administración) solo pueden verificarse visualmente con una cuenta real, no en cada sesión de desarrollo.</w:t>
      </w:r>
    </w:p>
    <w:p>
      <w:pPr>
        <w:pStyle w:val="Heading1"/>
        <w:spacing w:after="200" w:before="400"/>
      </w:pPr>
      <w:r>
        <w:t xml:space="preserve">16. Referencias</w:t>
      </w:r>
    </w:p>
    <w:p>
      <w:pPr>
        <w:pStyle w:val="ListParagraph"/>
        <w:numPr>
          <w:ilvl w:val="0"/>
          <w:numId w:val="2"/>
        </w:numPr>
        <w:spacing w:after="80"/>
      </w:pPr>
      <w:r>
        <w:t xml:space="preserve">docs/CONTINUAR-BACKEND.md — bitácora cronológica completa de cada cambio, con el detalle de verificación de cada uno.</w:t>
      </w:r>
    </w:p>
    <w:p>
      <w:pPr>
        <w:pStyle w:val="ListParagraph"/>
        <w:numPr>
          <w:ilvl w:val="0"/>
          <w:numId w:val="2"/>
        </w:numPr>
        <w:spacing w:after="80"/>
      </w:pPr>
      <w:r>
        <w:t xml:space="preserve">Repositorio: github.com/Sinterk/TelecomCatalog, rama backend-supabase.</w:t>
      </w:r>
    </w:p>
    <w:p>
      <w:pPr>
        <w:pStyle w:val="ListParagraph"/>
        <w:numPr>
          <w:ilvl w:val="0"/>
          <w:numId w:val="2"/>
        </w:numPr>
        <w:spacing w:after="80"/>
      </w:pPr>
      <w:r>
        <w:t xml:space="preserve">Proyecto Supabase: xwawplezarrfonuyaaxu (Postgres + Auth + Storage).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2026-07-29T13:50:59.095Z</dcterms:created>
  <dcterms:modified xsi:type="dcterms:W3CDTF">2026-07-29T13:50:59.100Z</dcterms:modified>
</cp:coreProperties>
</file>

<file path=docProps/custom.xml><?xml version="1.0" encoding="utf-8"?>
<Properties xmlns="http://schemas.openxmlformats.org/officeDocument/2006/custom-properties" xmlns:vt="http://schemas.openxmlformats.org/officeDocument/2006/docPropsVTypes"/>
</file>