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0"/>
        <w:jc w:val="center"/>
      </w:pPr>
      <w:r>
        <w:rPr>
          <w:rFonts w:ascii="Noto Sans CJK SC" w:hAnsi="Noto Sans CJK SC" w:eastAsia="Noto Sans CJK SC"/>
          <w:b/>
          <w:color w:val="203F96"/>
          <w:sz w:val="50"/>
        </w:rPr>
        <w:t>职越（AI Career）</w:t>
      </w:r>
    </w:p>
    <w:p>
      <w:pPr>
        <w:widowControl/>
        <w:spacing w:before="160"/>
        <w:jc w:val="center"/>
      </w:pPr>
      <w:r>
        <w:rPr>
          <w:rFonts w:ascii="Noto Sans CJK SC" w:hAnsi="Noto Sans CJK SC" w:eastAsia="Noto Sans CJK SC"/>
          <w:b/>
          <w:color w:val="283146"/>
          <w:sz w:val="42"/>
        </w:rPr>
        <w:t>用户余额与营销赠送功能 PRD</w:t>
      </w:r>
    </w:p>
    <w:p>
      <w:pPr>
        <w:widowControl/>
        <w:spacing w:before="360"/>
        <w:jc w:val="center"/>
      </w:pPr>
      <w:r>
        <w:rPr>
          <w:rFonts w:ascii="Noto Sans CJK SC" w:hAnsi="Noto Sans CJK SC" w:eastAsia="Noto Sans CJK SC"/>
          <w:color w:val="677082"/>
          <w:sz w:val="22"/>
        </w:rPr>
        <w:t>版本 V1.0</w:t>
      </w:r>
    </w:p>
    <w:tbl>
      <w:tblPr>
        <w:tblW w:type="auto" w:w="0"/>
        <w:jc w:val="center"/>
        <w:tblLayout w:type="fixed"/>
        <w:tblLook w:firstColumn="1" w:firstRow="1" w:lastColumn="0" w:lastRow="0" w:noHBand="0" w:noVBand="1" w:val="04A0"/>
      </w:tblPr>
      <w:tblGrid>
        <w:gridCol w:w="3286"/>
        <w:gridCol w:w="3286"/>
        <w:gridCol w:w="3286"/>
      </w:tblGrid>
      <w:tr>
        <w:trPr>
          <w:trHeight w:val="91"/>
        </w:trPr>
        <w:tc>
          <w:tcPr>
            <w:tcW w:type="dxa" w:w="2154"/>
            <w:shd w:fill="2F5EEA"/>
            <w:tcMar>
              <w:top w:w="0" w:type="dxa"/>
              <w:start w:w="0" w:type="dxa"/>
              <w:bottom w:w="0" w:type="dxa"/>
              <w:end w:w="0" w:type="dxa"/>
            </w:tcMar>
            <w:tcW/>
          </w:tcPr>
          <w:p>
            <w:r/>
          </w:p>
        </w:tc>
        <w:tc>
          <w:tcPr>
            <w:tcW w:type="dxa" w:w="1587"/>
            <w:shd w:fill="6B8AFD"/>
            <w:tcMar>
              <w:top w:w="0" w:type="dxa"/>
              <w:start w:w="0" w:type="dxa"/>
              <w:bottom w:w="0" w:type="dxa"/>
              <w:end w:w="0" w:type="dxa"/>
            </w:tcMar>
            <w:tcW/>
          </w:tcPr>
          <w:p>
            <w:r/>
          </w:p>
        </w:tc>
        <w:tc>
          <w:tcPr>
            <w:tcW w:type="dxa" w:w="1020"/>
            <w:shd w:fill="C7D4FF"/>
            <w:tcMar>
              <w:top w:w="0" w:type="dxa"/>
              <w:start w:w="0" w:type="dxa"/>
              <w:bottom w:w="0" w:type="dxa"/>
              <w:end w:w="0" w:type="dxa"/>
            </w:tcMar>
            <w:tcW/>
          </w:tcPr>
          <w:p>
            <w:r/>
          </w:p>
        </w:tc>
      </w:tr>
    </w:tbl>
    <w:tbl>
      <w:tblPr>
        <w:tblStyle w:val="TableGrid"/>
        <w:tblW w:type="auto" w:w="0"/>
        <w:jc w:val="center"/>
        <w:tblLayout w:type="fixed"/>
        <w:tblLook w:firstColumn="1" w:firstRow="1" w:lastColumn="0" w:lastRow="0" w:noHBand="0" w:noVBand="1" w:val="04A0"/>
      </w:tblPr>
      <w:tblGrid>
        <w:gridCol w:w="4929"/>
        <w:gridCol w:w="4929"/>
      </w:tblGrid>
      <w:tr>
        <w:tc>
          <w:tcPr>
            <w:tcW w:type="dxa" w:w="1928"/>
            <w:shd w:fill="EEF2FB"/>
            <w:tcMar>
              <w:top w:w="110" w:type="dxa"/>
              <w:start w:w="140" w:type="dxa"/>
              <w:bottom w:w="110" w:type="dxa"/>
              <w:end w:w="140" w:type="dxa"/>
            </w:tcMar>
          </w:tcPr>
          <w:p>
            <w:pPr>
              <w:spacing w:after="0"/>
              <w:jc w:val="left"/>
            </w:pPr>
            <w:r>
              <w:rPr>
                <w:rFonts w:ascii="Noto Sans CJK SC" w:hAnsi="Noto Sans CJK SC" w:eastAsia="Noto Sans CJK SC"/>
                <w:b/>
                <w:color w:val="374155"/>
                <w:sz w:val="19"/>
              </w:rPr>
              <w:t>产品名称</w:t>
            </w:r>
          </w:p>
        </w:tc>
        <w:tc>
          <w:tcPr>
            <w:tcW w:type="dxa" w:w="5216"/>
            <w:tcMar>
              <w:top w:w="110" w:type="dxa"/>
              <w:start w:w="140" w:type="dxa"/>
              <w:bottom w:w="110" w:type="dxa"/>
              <w:end w:w="140" w:type="dxa"/>
            </w:tcMar>
          </w:tcPr>
          <w:p>
            <w:pPr>
              <w:spacing w:after="0"/>
              <w:jc w:val="left"/>
            </w:pPr>
            <w:r>
              <w:rPr>
                <w:rFonts w:ascii="Noto Sans CJK SC" w:hAnsi="Noto Sans CJK SC" w:eastAsia="Noto Sans CJK SC"/>
                <w:b w:val="0"/>
                <w:color w:val="374155"/>
                <w:sz w:val="19"/>
              </w:rPr>
              <w:t>职越（AI Career）</w:t>
            </w:r>
          </w:p>
        </w:tc>
      </w:tr>
      <w:tr>
        <w:tc>
          <w:tcPr>
            <w:tcW w:type="dxa" w:w="1928"/>
            <w:shd w:fill="EEF2FB"/>
            <w:tcMar>
              <w:top w:w="110" w:type="dxa"/>
              <w:start w:w="140" w:type="dxa"/>
              <w:bottom w:w="110" w:type="dxa"/>
              <w:end w:w="140" w:type="dxa"/>
            </w:tcMar>
          </w:tcPr>
          <w:p>
            <w:pPr>
              <w:spacing w:after="0"/>
              <w:jc w:val="left"/>
            </w:pPr>
            <w:r>
              <w:rPr>
                <w:rFonts w:ascii="Noto Sans CJK SC" w:hAnsi="Noto Sans CJK SC" w:eastAsia="Noto Sans CJK SC"/>
                <w:b/>
                <w:color w:val="374155"/>
                <w:sz w:val="19"/>
              </w:rPr>
              <w:t>需求模块</w:t>
            </w:r>
          </w:p>
        </w:tc>
        <w:tc>
          <w:tcPr>
            <w:tcW w:type="dxa" w:w="5216"/>
            <w:tcMar>
              <w:top w:w="110" w:type="dxa"/>
              <w:start w:w="140" w:type="dxa"/>
              <w:bottom w:w="110" w:type="dxa"/>
              <w:end w:w="140" w:type="dxa"/>
            </w:tcMar>
          </w:tcPr>
          <w:p>
            <w:pPr>
              <w:spacing w:after="0"/>
              <w:jc w:val="left"/>
            </w:pPr>
            <w:r>
              <w:rPr>
                <w:rFonts w:ascii="Noto Sans CJK SC" w:hAnsi="Noto Sans CJK SC" w:eastAsia="Noto Sans CJK SC"/>
                <w:b w:val="0"/>
                <w:color w:val="374155"/>
                <w:sz w:val="19"/>
              </w:rPr>
              <w:t>用户余额账户 / 后台营销赠送 / 注册赠送</w:t>
            </w:r>
          </w:p>
        </w:tc>
      </w:tr>
      <w:tr>
        <w:tc>
          <w:tcPr>
            <w:tcW w:type="dxa" w:w="1928"/>
            <w:shd w:fill="EEF2FB"/>
            <w:tcMar>
              <w:top w:w="110" w:type="dxa"/>
              <w:start w:w="140" w:type="dxa"/>
              <w:bottom w:w="110" w:type="dxa"/>
              <w:end w:w="140" w:type="dxa"/>
            </w:tcMar>
          </w:tcPr>
          <w:p>
            <w:pPr>
              <w:spacing w:after="0"/>
              <w:jc w:val="left"/>
            </w:pPr>
            <w:r>
              <w:rPr>
                <w:rFonts w:ascii="Noto Sans CJK SC" w:hAnsi="Noto Sans CJK SC" w:eastAsia="Noto Sans CJK SC"/>
                <w:b/>
                <w:color w:val="374155"/>
                <w:sz w:val="19"/>
              </w:rPr>
              <w:t>文档版本</w:t>
            </w:r>
          </w:p>
        </w:tc>
        <w:tc>
          <w:tcPr>
            <w:tcW w:type="dxa" w:w="5216"/>
            <w:tcMar>
              <w:top w:w="110" w:type="dxa"/>
              <w:start w:w="140" w:type="dxa"/>
              <w:bottom w:w="110" w:type="dxa"/>
              <w:end w:w="140" w:type="dxa"/>
            </w:tcMar>
          </w:tcPr>
          <w:p>
            <w:pPr>
              <w:spacing w:after="0"/>
              <w:jc w:val="left"/>
            </w:pPr>
            <w:r>
              <w:rPr>
                <w:rFonts w:ascii="Noto Sans CJK SC" w:hAnsi="Noto Sans CJK SC" w:eastAsia="Noto Sans CJK SC"/>
                <w:b w:val="0"/>
                <w:color w:val="374155"/>
                <w:sz w:val="19"/>
              </w:rPr>
              <w:t>V1.0</w:t>
            </w:r>
          </w:p>
        </w:tc>
      </w:tr>
      <w:tr>
        <w:tc>
          <w:tcPr>
            <w:tcW w:type="dxa" w:w="1928"/>
            <w:shd w:fill="EEF2FB"/>
            <w:tcMar>
              <w:top w:w="110" w:type="dxa"/>
              <w:start w:w="140" w:type="dxa"/>
              <w:bottom w:w="110" w:type="dxa"/>
              <w:end w:w="140" w:type="dxa"/>
            </w:tcMar>
          </w:tcPr>
          <w:p>
            <w:pPr>
              <w:spacing w:after="0"/>
              <w:jc w:val="left"/>
            </w:pPr>
            <w:r>
              <w:rPr>
                <w:rFonts w:ascii="Noto Sans CJK SC" w:hAnsi="Noto Sans CJK SC" w:eastAsia="Noto Sans CJK SC"/>
                <w:b/>
                <w:color w:val="374155"/>
                <w:sz w:val="19"/>
              </w:rPr>
              <w:t>文档日期</w:t>
            </w:r>
          </w:p>
        </w:tc>
        <w:tc>
          <w:tcPr>
            <w:tcW w:type="dxa" w:w="5216"/>
            <w:tcMar>
              <w:top w:w="110" w:type="dxa"/>
              <w:start w:w="140" w:type="dxa"/>
              <w:bottom w:w="110" w:type="dxa"/>
              <w:end w:w="140" w:type="dxa"/>
            </w:tcMar>
          </w:tcPr>
          <w:p>
            <w:pPr>
              <w:spacing w:after="0"/>
              <w:jc w:val="left"/>
            </w:pPr>
            <w:r>
              <w:rPr>
                <w:rFonts w:ascii="Noto Sans CJK SC" w:hAnsi="Noto Sans CJK SC" w:eastAsia="Noto Sans CJK SC"/>
                <w:b w:val="0"/>
                <w:color w:val="374155"/>
                <w:sz w:val="19"/>
              </w:rPr>
              <w:t>2026年7月18日</w:t>
            </w:r>
          </w:p>
        </w:tc>
      </w:tr>
      <w:tr>
        <w:tc>
          <w:tcPr>
            <w:tcW w:type="dxa" w:w="1928"/>
            <w:shd w:fill="EEF2FB"/>
            <w:tcMar>
              <w:top w:w="110" w:type="dxa"/>
              <w:start w:w="140" w:type="dxa"/>
              <w:bottom w:w="110" w:type="dxa"/>
              <w:end w:w="140" w:type="dxa"/>
            </w:tcMar>
          </w:tcPr>
          <w:p>
            <w:pPr>
              <w:spacing w:after="0"/>
              <w:jc w:val="left"/>
            </w:pPr>
            <w:r>
              <w:rPr>
                <w:rFonts w:ascii="Noto Sans CJK SC" w:hAnsi="Noto Sans CJK SC" w:eastAsia="Noto Sans CJK SC"/>
                <w:b/>
                <w:color w:val="374155"/>
                <w:sz w:val="19"/>
              </w:rPr>
              <w:t>文档状态</w:t>
            </w:r>
          </w:p>
        </w:tc>
        <w:tc>
          <w:tcPr>
            <w:tcW w:type="dxa" w:w="5216"/>
            <w:tcMar>
              <w:top w:w="110" w:type="dxa"/>
              <w:start w:w="140" w:type="dxa"/>
              <w:bottom w:w="110" w:type="dxa"/>
              <w:end w:w="140" w:type="dxa"/>
            </w:tcMar>
          </w:tcPr>
          <w:p>
            <w:pPr>
              <w:spacing w:after="0"/>
              <w:jc w:val="left"/>
            </w:pPr>
            <w:r>
              <w:rPr>
                <w:rFonts w:ascii="Noto Sans CJK SC" w:hAnsi="Noto Sans CJK SC" w:eastAsia="Noto Sans CJK SC"/>
                <w:b w:val="0"/>
                <w:color w:val="374155"/>
                <w:sz w:val="19"/>
              </w:rPr>
              <w:t>待评审</w:t>
            </w:r>
          </w:p>
        </w:tc>
      </w:tr>
    </w:tbl>
    <w:p>
      <w:pPr>
        <w:widowControl/>
        <w:spacing w:before="500"/>
      </w:pPr>
    </w:p>
    <w:p>
      <w:pPr>
        <w:widowControl/>
        <w:jc w:val="center"/>
      </w:pPr>
      <w:r>
        <w:rPr>
          <w:rFonts w:ascii="Noto Sans CJK SC" w:hAnsi="Noto Sans CJK SC" w:eastAsia="Noto Sans CJK SC"/>
          <w:color w:val="788090"/>
          <w:sz w:val="18"/>
        </w:rPr>
        <w:t>适用对象：产品、研发、测试、运营、财务及后台管理员</w:t>
      </w:r>
    </w:p>
    <w:p>
      <w:pPr>
        <w:widowControl/>
      </w:pPr>
      <w:r>
        <w:rPr>
          <w:rFonts w:ascii="Noto Sans CJK SC" w:hAnsi="Noto Sans CJK SC" w:eastAsia="Noto Sans CJK SC"/>
        </w:rPr>
        <w:br w:type="page"/>
      </w:r>
    </w:p>
    <w:p>
      <w:pPr>
        <w:pStyle w:val="Heading1"/>
        <w:keepNext/>
        <w:widowControl/>
      </w:pPr>
      <w:r>
        <w:rPr>
          <w:rFonts w:ascii="Noto Sans CJK SC" w:hAnsi="Noto Sans CJK SC" w:eastAsia="Noto Sans CJK SC"/>
        </w:rPr>
        <w:t>1. 文档概述</w:t>
      </w:r>
    </w:p>
    <w:p>
      <w:pPr>
        <w:pStyle w:val="Heading2"/>
        <w:keepNext/>
        <w:widowControl/>
      </w:pPr>
      <w:r>
        <w:rPr>
          <w:rFonts w:ascii="Noto Sans CJK SC" w:hAnsi="Noto Sans CJK SC" w:eastAsia="Noto Sans CJK SC"/>
        </w:rPr>
        <w:t>1.1 需求背景</w:t>
      </w:r>
    </w:p>
    <w:p>
      <w:pPr>
        <w:pStyle w:val="BodyText"/>
        <w:widowControl/>
      </w:pPr>
      <w:r>
        <w:rPr>
          <w:rFonts w:ascii="Noto Sans CJK SC" w:hAnsi="Noto Sans CJK SC" w:eastAsia="Noto Sans CJK SC"/>
        </w:rPr>
        <w:t>职越当前需要为测试账户、合作推广账户及营销活动用户提供可消费的体验额度，但本期不建设用户主动充值通道。为避免通过线下口头约定、人工改数据等方式发放权益，需要建立统一的用户余额账户、后台赠送、营销费用入账和审计追踪能力。</w:t>
      </w:r>
    </w:p>
    <w:p>
      <w:pPr>
        <w:pStyle w:val="BodyText"/>
        <w:widowControl/>
      </w:pPr>
      <w:r>
        <w:rPr>
          <w:rFonts w:ascii="Noto Sans CJK SC" w:hAnsi="Noto Sans CJK SC" w:eastAsia="Noto Sans CJK SC"/>
        </w:rPr>
        <w:t>同时，新注册用户需要获得一笔可直接用于体验产品功能的赠送余额，并通过注册成功页、站内通知及余额展示明确告知用户，缩短从注册到首次体验的路径。</w:t>
      </w:r>
    </w:p>
    <w:tbl>
      <w:tblPr>
        <w:tblW w:type="auto" w:w="0"/>
        <w:jc w:val="center"/>
        <w:tblLayout w:type="autofit"/>
        <w:tblLook w:firstColumn="1" w:firstRow="1" w:lastColumn="0" w:lastRow="0" w:noHBand="0" w:noVBand="1" w:val="04A0"/>
      </w:tblPr>
      <w:tblGrid>
        <w:gridCol w:w="9858"/>
      </w:tblGrid>
      <w:tr>
        <w:tc>
          <w:tcPr>
            <w:tcW w:type="dxa" w:w="9858"/>
            <w:shd w:fill="F3F7FF"/>
            <w:tcMar>
              <w:top w:w="110" w:type="dxa"/>
              <w:start w:w="160" w:type="dxa"/>
              <w:bottom w:w="110" w:type="dxa"/>
              <w:end w:w="160" w:type="dxa"/>
            </w:tcMar>
            <w:tcBorders>
              <w:top w:val="single" w:sz="8" w:color="6B8AFD"/>
              <w:left w:val="single" w:sz="8" w:color="6B8AFD"/>
              <w:bottom w:val="single" w:sz="8" w:color="6B8AFD"/>
              <w:right w:val="single" w:sz="8" w:color="6B8AFD"/>
            </w:tcBorders>
          </w:tcPr>
          <w:p>
            <w:pPr>
              <w:spacing w:after="60"/>
            </w:pPr>
            <w:r>
              <w:rPr>
                <w:rFonts w:ascii="Noto Sans CJK SC" w:hAnsi="Noto Sans CJK SC" w:eastAsia="Noto Sans CJK SC"/>
                <w:b/>
                <w:color w:val="2344AA"/>
                <w:sz w:val="21"/>
              </w:rPr>
              <w:t>核心原则</w:t>
            </w:r>
          </w:p>
          <w:p>
            <w:pPr>
              <w:spacing w:after="0"/>
            </w:pPr>
            <w:r>
              <w:rPr>
                <w:rFonts w:ascii="Noto Sans CJK SC" w:hAnsi="Noto Sans CJK SC" w:eastAsia="Noto Sans CJK SC"/>
                <w:color w:val="30394C"/>
                <w:sz w:val="19"/>
              </w:rPr>
              <w:t>余额是用户可消费权益；后台人工增加的余额、注册赠送及未来充值活动中的赠送部分，均按赠送发生时计入内部管理口径的营销费用。用户真实充值本金不计入营销费用。</w:t>
            </w:r>
          </w:p>
        </w:tc>
      </w:tr>
    </w:tbl>
    <w:p>
      <w:pPr>
        <w:widowControl/>
        <w:spacing w:after="0"/>
      </w:pPr>
    </w:p>
    <w:p>
      <w:pPr>
        <w:pStyle w:val="Heading2"/>
        <w:keepNext/>
        <w:widowControl/>
      </w:pPr>
      <w:r>
        <w:rPr>
          <w:rFonts w:ascii="Noto Sans CJK SC" w:hAnsi="Noto Sans CJK SC" w:eastAsia="Noto Sans CJK SC"/>
        </w:rPr>
        <w:t>1.2 产品目标</w:t>
      </w:r>
    </w:p>
    <w:p>
      <w:pPr>
        <w:pStyle w:val="ListBullet"/>
        <w:widowControl/>
      </w:pPr>
      <w:r>
        <w:rPr>
          <w:rFonts w:ascii="Noto Sans CJK SC" w:hAnsi="Noto Sans CJK SC" w:eastAsia="Noto Sans CJK SC"/>
        </w:rPr>
        <w:t>建立统一、可追溯的用户余额账户，支持余额查询与消费扣减。</w:t>
      </w:r>
    </w:p>
    <w:p>
      <w:pPr>
        <w:pStyle w:val="ListBullet"/>
        <w:widowControl/>
      </w:pPr>
      <w:r>
        <w:rPr>
          <w:rFonts w:ascii="Noto Sans CJK SC" w:hAnsi="Noto Sans CJK SC" w:eastAsia="Noto Sans CJK SC"/>
        </w:rPr>
        <w:t>支持授权管理员在后台为指定用户人工增加余额，用于测试、合作推广、补偿及营销活动。</w:t>
      </w:r>
    </w:p>
    <w:p>
      <w:pPr>
        <w:pStyle w:val="ListBullet"/>
        <w:widowControl/>
      </w:pPr>
      <w:r>
        <w:rPr>
          <w:rFonts w:ascii="Noto Sans CJK SC" w:hAnsi="Noto Sans CJK SC" w:eastAsia="Noto Sans CJK SC"/>
        </w:rPr>
        <w:t>管理员人工赠送、注册赠送和未来充值赠送均自动生成营销费用记录。</w:t>
      </w:r>
    </w:p>
    <w:p>
      <w:pPr>
        <w:pStyle w:val="ListBullet"/>
        <w:widowControl/>
      </w:pPr>
      <w:r>
        <w:rPr>
          <w:rFonts w:ascii="Noto Sans CJK SC" w:hAnsi="Noto Sans CJK SC" w:eastAsia="Noto Sans CJK SC"/>
        </w:rPr>
        <w:t>支持后台配置新用户是否赠送、赠送金额及活动有效期。</w:t>
      </w:r>
    </w:p>
    <w:p>
      <w:pPr>
        <w:pStyle w:val="ListBullet"/>
        <w:widowControl/>
      </w:pPr>
      <w:r>
        <w:rPr>
          <w:rFonts w:ascii="Noto Sans CJK SC" w:hAnsi="Noto Sans CJK SC" w:eastAsia="Noto Sans CJK SC"/>
        </w:rPr>
        <w:t>通过清晰的到账提示和体验引导，提高新用户首次使用率与赠送余额核销率。</w:t>
      </w:r>
    </w:p>
    <w:p>
      <w:pPr>
        <w:pStyle w:val="Heading2"/>
        <w:keepNext/>
        <w:widowControl/>
      </w:pPr>
      <w:r>
        <w:rPr>
          <w:rFonts w:ascii="Noto Sans CJK SC" w:hAnsi="Noto Sans CJK SC" w:eastAsia="Noto Sans CJK SC"/>
        </w:rPr>
        <w:t>1.3 本期范围</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701"/>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范围类型</w:t>
            </w:r>
          </w:p>
        </w:tc>
        <w:tc>
          <w:tcPr>
            <w:tcW w:type="dxa" w:w="7370"/>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内容</w:t>
            </w:r>
          </w:p>
        </w:tc>
      </w:tr>
      <w:tr>
        <w:trPr>
          <w:cantSplit/>
        </w:trP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本期建设</w:t>
            </w:r>
          </w:p>
        </w:tc>
        <w:tc>
          <w:tcPr>
            <w:tcW w:type="dxa" w:w="737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用户余额账户、余额流水、余额支付、后台人工赠送、注册赠送配置、到账通知、营销费用台账、权限与审计、统计报表。</w:t>
            </w:r>
          </w:p>
        </w:tc>
      </w:tr>
      <w:tr>
        <w:trPr>
          <w:cantSplit/>
        </w:trP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接口预留</w:t>
            </w:r>
          </w:p>
        </w:tc>
        <w:tc>
          <w:tcPr>
            <w:tcW w:type="dxa" w:w="737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未来用户充值、充值赠送、活动规则、优惠券/权益包、余额有效期扩展。</w:t>
            </w:r>
          </w:p>
        </w:tc>
      </w:tr>
      <w:tr>
        <w:trPr>
          <w:cantSplit/>
        </w:trP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本期不建设</w:t>
            </w:r>
          </w:p>
        </w:tc>
        <w:tc>
          <w:tcPr>
            <w:tcW w:type="dxa" w:w="737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真实充值收银台、银行卡/微信/支付宝充值通道、提现、余额转赠、多人共享余额、复杂会员体系。</w:t>
            </w:r>
          </w:p>
        </w:tc>
      </w:tr>
    </w:tbl>
    <w:p>
      <w:pPr>
        <w:widowControl/>
        <w:spacing w:after="0"/>
      </w:pPr>
    </w:p>
    <w:p>
      <w:pPr>
        <w:pStyle w:val="Heading2"/>
        <w:keepNext/>
        <w:widowControl/>
      </w:pPr>
      <w:r>
        <w:rPr>
          <w:rFonts w:ascii="Noto Sans CJK SC" w:hAnsi="Noto Sans CJK SC" w:eastAsia="Noto Sans CJK SC"/>
        </w:rPr>
        <w:t>1.4 关键角色</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587"/>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角色</w:t>
            </w:r>
          </w:p>
        </w:tc>
        <w:tc>
          <w:tcPr>
            <w:tcW w:type="dxa" w:w="3969"/>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核心诉求</w:t>
            </w:r>
          </w:p>
        </w:tc>
        <w:tc>
          <w:tcPr>
            <w:tcW w:type="dxa" w:w="3515"/>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主要权限</w:t>
            </w:r>
          </w:p>
        </w:tc>
      </w:tr>
      <w:tr>
        <w:trPr>
          <w:cantSplit/>
        </w:trP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普通用户</w:t>
            </w:r>
          </w:p>
        </w:tc>
        <w:tc>
          <w:tcPr>
            <w:tcW w:type="dxa" w:w="396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查看余额、使用余额支付、查看余额流水和到账通知。</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仅查看本人账户及流水；发起本人消费。</w:t>
            </w:r>
          </w:p>
        </w:tc>
      </w:tr>
      <w:tr>
        <w:trPr>
          <w:cantSplit/>
        </w:trP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运营管理员</w:t>
            </w:r>
          </w:p>
        </w:tc>
        <w:tc>
          <w:tcPr>
            <w:tcW w:type="dxa" w:w="396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向测试或营销用户发放余额，配置注册赠送活动。</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人工赠送、查看相关流水、创建或编辑活动配置。</w:t>
            </w:r>
          </w:p>
        </w:tc>
      </w:tr>
      <w:tr>
        <w:trPr>
          <w:cantSplit/>
        </w:trP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财务人员</w:t>
            </w:r>
          </w:p>
        </w:tc>
        <w:tc>
          <w:tcPr>
            <w:tcW w:type="dxa" w:w="396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核对赠送金额、营销费用及未来现金充值本金。</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查看与导出账务台账，不直接修改用户余额。</w:t>
            </w:r>
          </w:p>
        </w:tc>
      </w:tr>
      <w:tr>
        <w:trPr>
          <w:cantSplit/>
        </w:trP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超级管理员</w:t>
            </w:r>
          </w:p>
        </w:tc>
        <w:tc>
          <w:tcPr>
            <w:tcW w:type="dxa" w:w="396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处理异常、权限管理、余额调减或冲正。</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全量查询、审批或执行高风险调整、配置权限。</w:t>
            </w:r>
          </w:p>
        </w:tc>
      </w:tr>
    </w:tbl>
    <w:p>
      <w:pPr>
        <w:widowControl/>
        <w:spacing w:after="0"/>
      </w:pPr>
    </w:p>
    <w:p>
      <w:pPr>
        <w:pStyle w:val="Heading1"/>
        <w:keepNext/>
        <w:widowControl/>
      </w:pPr>
      <w:r>
        <w:rPr>
          <w:rFonts w:ascii="Noto Sans CJK SC" w:hAnsi="Noto Sans CJK SC" w:eastAsia="Noto Sans CJK SC"/>
        </w:rPr>
        <w:t>2. 账户与账务模型</w:t>
      </w:r>
    </w:p>
    <w:p>
      <w:pPr>
        <w:pStyle w:val="Heading2"/>
        <w:keepNext/>
        <w:widowControl/>
      </w:pPr>
      <w:r>
        <w:rPr>
          <w:rFonts w:ascii="Noto Sans CJK SC" w:hAnsi="Noto Sans CJK SC" w:eastAsia="Noto Sans CJK SC"/>
        </w:rPr>
        <w:t>2.1 资金类型定义</w:t>
      </w:r>
    </w:p>
    <w:tbl>
      <w:tblPr>
        <w:tblStyle w:val="TableGrid"/>
        <w:tblW w:type="auto" w:w="0"/>
        <w:jc w:val="center"/>
        <w:tblLayout w:type="fixed"/>
        <w:tblLook w:firstColumn="1" w:firstRow="1" w:lastColumn="0" w:lastRow="0" w:noHBand="0" w:noVBand="1" w:val="04A0"/>
      </w:tblPr>
      <w:tblGrid>
        <w:gridCol w:w="1972"/>
        <w:gridCol w:w="1972"/>
        <w:gridCol w:w="1972"/>
        <w:gridCol w:w="1972"/>
        <w:gridCol w:w="1972"/>
      </w:tblGrid>
      <w:tr>
        <w:trPr>
          <w:tblHeader w:val="true"/>
        </w:trPr>
        <w:tc>
          <w:tcPr>
            <w:tcW w:type="dxa" w:w="1701"/>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资金类型</w:t>
            </w:r>
          </w:p>
        </w:tc>
        <w:tc>
          <w:tcPr>
            <w:tcW w:type="dxa" w:w="2891"/>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定义</w:t>
            </w:r>
          </w:p>
        </w:tc>
        <w:tc>
          <w:tcPr>
            <w:tcW w:type="dxa" w:w="1304"/>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是否可消费</w:t>
            </w:r>
          </w:p>
        </w:tc>
        <w:tc>
          <w:tcPr>
            <w:tcW w:type="dxa" w:w="1701"/>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是否计入营销费用</w:t>
            </w:r>
          </w:p>
        </w:tc>
        <w:tc>
          <w:tcPr>
            <w:tcW w:type="dxa" w:w="1474"/>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是否形成现金收入</w:t>
            </w:r>
          </w:p>
        </w:tc>
      </w:tr>
      <w:tr>
        <w:trPr>
          <w:cantSplit/>
        </w:trP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真实充值本金</w:t>
            </w:r>
          </w:p>
        </w:tc>
        <w:tc>
          <w:tcPr>
            <w:tcW w:type="dxa" w:w="289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用户通过未来充值通道实际支付并到账的金额。</w:t>
            </w:r>
          </w:p>
        </w:tc>
        <w:tc>
          <w:tcPr>
            <w:tcW w:type="dxa" w:w="130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否</w:t>
            </w:r>
          </w:p>
        </w:tc>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r>
      <w:tr>
        <w:trPr>
          <w:cantSplit/>
        </w:trP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营销赠送余额</w:t>
            </w:r>
          </w:p>
        </w:tc>
        <w:tc>
          <w:tcPr>
            <w:tcW w:type="dxa" w:w="289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平台无偿赠予用户的余额，包括人工赠送、注册赠送、充值赠送。</w:t>
            </w:r>
          </w:p>
        </w:tc>
        <w:tc>
          <w:tcPr>
            <w:tcW w:type="dxa" w:w="130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否</w:t>
            </w:r>
          </w:p>
        </w:tc>
      </w:tr>
      <w:tr>
        <w:trPr>
          <w:cantSplit/>
        </w:trP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退款返还余额</w:t>
            </w:r>
          </w:p>
        </w:tc>
        <w:tc>
          <w:tcPr>
            <w:tcW w:type="dxa" w:w="289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原消费退款后返还至原支付账户的余额。</w:t>
            </w:r>
          </w:p>
        </w:tc>
        <w:tc>
          <w:tcPr>
            <w:tcW w:type="dxa" w:w="130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否；恢复原交易口径</w:t>
            </w:r>
          </w:p>
        </w:tc>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否</w:t>
            </w:r>
          </w:p>
        </w:tc>
      </w:tr>
      <w:tr>
        <w:trPr>
          <w:cantSplit/>
        </w:trP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人工调整</w:t>
            </w:r>
          </w:p>
        </w:tc>
        <w:tc>
          <w:tcPr>
            <w:tcW w:type="dxa" w:w="289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因系统异常或客诉执行的余额增减。</w:t>
            </w:r>
          </w:p>
        </w:tc>
        <w:tc>
          <w:tcPr>
            <w:tcW w:type="dxa" w:w="130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视调整方向</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根据调整原因确定；默认需财务复核</w:t>
            </w:r>
          </w:p>
        </w:tc>
        <w:tc>
          <w:tcPr>
            <w:tcW w:type="dxa" w:w="147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否</w:t>
            </w:r>
          </w:p>
        </w:tc>
      </w:tr>
    </w:tbl>
    <w:p>
      <w:pPr>
        <w:widowControl/>
        <w:spacing w:after="0"/>
      </w:pPr>
    </w:p>
    <w:p>
      <w:pPr>
        <w:pStyle w:val="Heading2"/>
        <w:keepNext/>
        <w:widowControl/>
      </w:pPr>
      <w:r>
        <w:rPr>
          <w:rFonts w:ascii="Noto Sans CJK SC" w:hAnsi="Noto Sans CJK SC" w:eastAsia="Noto Sans CJK SC"/>
        </w:rPr>
        <w:t>2.2 用户余额账户</w:t>
      </w:r>
    </w:p>
    <w:p>
      <w:pPr>
        <w:pStyle w:val="BodyText"/>
        <w:widowControl/>
      </w:pPr>
      <w:r>
        <w:rPr>
          <w:rFonts w:ascii="Noto Sans CJK SC" w:hAnsi="Noto Sans CJK SC" w:eastAsia="Noto Sans CJK SC"/>
        </w:rPr>
        <w:t>每个用户注册后自动创建唯一余额账户。账户至少维护可用余额、累计增加、累计消费、累计退款及最近变动时间。余额以人民币“元”为展示单位，系统以“分”为最小存储单位，禁止浮点数计算。</w:t>
      </w:r>
    </w:p>
    <w:p>
      <w:pPr>
        <w:pStyle w:val="ListBullet"/>
        <w:widowControl/>
      </w:pPr>
      <w:r>
        <w:rPr>
          <w:rFonts w:ascii="Noto Sans CJK SC" w:hAnsi="Noto Sans CJK SC" w:eastAsia="Noto Sans CJK SC"/>
        </w:rPr>
        <w:t>余额不得为负数。</w:t>
      </w:r>
    </w:p>
    <w:p>
      <w:pPr>
        <w:pStyle w:val="ListBullet"/>
        <w:widowControl/>
      </w:pPr>
      <w:r>
        <w:rPr>
          <w:rFonts w:ascii="Noto Sans CJK SC" w:hAnsi="Noto Sans CJK SC" w:eastAsia="Noto Sans CJK SC"/>
        </w:rPr>
        <w:t>每一次余额变化必须对应一条不可删除的余额流水。</w:t>
      </w:r>
    </w:p>
    <w:p>
      <w:pPr>
        <w:pStyle w:val="ListBullet"/>
        <w:widowControl/>
      </w:pPr>
      <w:r>
        <w:rPr>
          <w:rFonts w:ascii="Noto Sans CJK SC" w:hAnsi="Noto Sans CJK SC" w:eastAsia="Noto Sans CJK SC"/>
        </w:rPr>
        <w:t>流水与业务订单、活动、操作人及营销费用记录建立关联。</w:t>
      </w:r>
    </w:p>
    <w:p>
      <w:pPr>
        <w:pStyle w:val="ListBullet"/>
        <w:widowControl/>
      </w:pPr>
      <w:r>
        <w:rPr>
          <w:rFonts w:ascii="Noto Sans CJK SC" w:hAnsi="Noto Sans CJK SC" w:eastAsia="Noto Sans CJK SC"/>
        </w:rPr>
        <w:t>本期不区分“本金余额”和“赠送余额”的用户端展示；账务底层必须保留来源类型，便于未来退款、有效期及财务分析。</w:t>
      </w:r>
    </w:p>
    <w:p>
      <w:pPr>
        <w:pStyle w:val="Heading2"/>
        <w:keepNext/>
        <w:widowControl/>
      </w:pPr>
      <w:r>
        <w:rPr>
          <w:rFonts w:ascii="Noto Sans CJK SC" w:hAnsi="Noto Sans CJK SC" w:eastAsia="Noto Sans CJK SC"/>
        </w:rPr>
        <w:t>2.3 记账规则矩阵</w:t>
      </w:r>
    </w:p>
    <w:tbl>
      <w:tblPr>
        <w:tblStyle w:val="TableGrid"/>
        <w:tblW w:type="auto" w:w="0"/>
        <w:jc w:val="center"/>
        <w:tblLayout w:type="fixed"/>
        <w:tblLook w:firstColumn="1" w:firstRow="1" w:lastColumn="0" w:lastRow="0" w:noHBand="0" w:noVBand="1" w:val="04A0"/>
      </w:tblPr>
      <w:tblGrid>
        <w:gridCol w:w="1972"/>
        <w:gridCol w:w="1972"/>
        <w:gridCol w:w="1972"/>
        <w:gridCol w:w="1972"/>
        <w:gridCol w:w="1972"/>
      </w:tblGrid>
      <w:tr>
        <w:trPr>
          <w:tblHeader w:val="true"/>
        </w:trPr>
        <w:tc>
          <w:tcPr>
            <w:tcW w:type="dxa" w:w="2381"/>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6"/>
              </w:rPr>
              <w:t>业务场景</w:t>
            </w:r>
          </w:p>
        </w:tc>
        <w:tc>
          <w:tcPr>
            <w:tcW w:type="dxa" w:w="1701"/>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6"/>
              </w:rPr>
              <w:t>余额变化</w:t>
            </w:r>
          </w:p>
        </w:tc>
        <w:tc>
          <w:tcPr>
            <w:tcW w:type="dxa" w:w="1701"/>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6"/>
              </w:rPr>
              <w:t>现金账户</w:t>
            </w:r>
          </w:p>
        </w:tc>
        <w:tc>
          <w:tcPr>
            <w:tcW w:type="dxa" w:w="1871"/>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6"/>
              </w:rPr>
              <w:t>营销费用</w:t>
            </w:r>
          </w:p>
        </w:tc>
        <w:tc>
          <w:tcPr>
            <w:tcW w:type="dxa" w:w="1701"/>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6"/>
              </w:rPr>
              <w:t>流水类型</w:t>
            </w:r>
          </w:p>
        </w:tc>
      </w:tr>
      <w:tr>
        <w:trPr>
          <w:cantSplit/>
        </w:trPr>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管理员人工赠送100元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用户余额 +100元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不变</w:t>
            </w:r>
          </w:p>
        </w:tc>
        <w:tc>
          <w:tcPr>
            <w:tcW w:type="dxa" w:w="187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+100元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ADMIN_GIFT</w:t>
            </w:r>
          </w:p>
        </w:tc>
      </w:tr>
      <w:tr>
        <w:trPr>
          <w:cantSplit/>
        </w:trPr>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新用户注册赠送20元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用户余额 +20元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不变</w:t>
            </w:r>
          </w:p>
        </w:tc>
        <w:tc>
          <w:tcPr>
            <w:tcW w:type="dxa" w:w="187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+20元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REGISTER_GIFT</w:t>
            </w:r>
          </w:p>
        </w:tc>
      </w:tr>
      <w:tr>
        <w:trPr>
          <w:cantSplit/>
        </w:trPr>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未来充值100元送10元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用户余额 +110元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现金到账 +100元</w:t>
            </w:r>
          </w:p>
        </w:tc>
        <w:tc>
          <w:tcPr>
            <w:tcW w:type="dxa" w:w="187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+10元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RECHARGE_PRINCIPAL + RECHARGE_BONUS</w:t>
            </w:r>
          </w:p>
        </w:tc>
      </w:tr>
      <w:tr>
        <w:trPr>
          <w:cantSplit/>
        </w:trPr>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用户消费30元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用户余额 -30元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不变</w:t>
            </w:r>
          </w:p>
        </w:tc>
        <w:tc>
          <w:tcPr>
            <w:tcW w:type="dxa" w:w="187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不新增营销费用</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CONSUMPTION</w:t>
            </w:r>
          </w:p>
        </w:tc>
      </w:tr>
      <w:tr>
        <w:trPr>
          <w:cantSplit/>
        </w:trPr>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订单退款30元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用户余额 +30元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按原支付渠道处理</w:t>
            </w:r>
          </w:p>
        </w:tc>
        <w:tc>
          <w:tcPr>
            <w:tcW w:type="dxa" w:w="187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不新增；恢复原交易</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REFUND</w:t>
            </w:r>
          </w:p>
        </w:tc>
      </w:tr>
      <w:tr>
        <w:trPr>
          <w:cantSplit/>
        </w:trPr>
        <w:tc>
          <w:tcPr>
            <w:tcW w:type="dxa" w:w="238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撤销未使用赠送10元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用户余额 -10元</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不变</w:t>
            </w:r>
          </w:p>
        </w:tc>
        <w:tc>
          <w:tcPr>
            <w:tcW w:type="dxa" w:w="187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-10元或生成费用冲正</w:t>
            </w:r>
          </w:p>
        </w:tc>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GIFT_REVERSAL</w:t>
            </w:r>
          </w:p>
        </w:tc>
      </w:tr>
    </w:tbl>
    <w:p>
      <w:pPr>
        <w:widowControl/>
        <w:spacing w:after="0"/>
      </w:pPr>
    </w:p>
    <w:tbl>
      <w:tblPr>
        <w:tblW w:type="auto" w:w="0"/>
        <w:jc w:val="center"/>
        <w:tblLayout w:type="autofit"/>
        <w:tblLook w:firstColumn="1" w:firstRow="1" w:lastColumn="0" w:lastRow="0" w:noHBand="0" w:noVBand="1" w:val="04A0"/>
      </w:tblPr>
      <w:tblGrid>
        <w:gridCol w:w="9858"/>
      </w:tblGrid>
      <w:tr>
        <w:tc>
          <w:tcPr>
            <w:tcW w:type="dxa" w:w="9858"/>
            <w:shd w:fill="FFF8E8"/>
            <w:tcMar>
              <w:top w:w="110" w:type="dxa"/>
              <w:start w:w="160" w:type="dxa"/>
              <w:bottom w:w="110" w:type="dxa"/>
              <w:end w:w="160" w:type="dxa"/>
            </w:tcMar>
            <w:tcBorders>
              <w:top w:val="single" w:sz="8" w:color="E5A928"/>
              <w:left w:val="single" w:sz="8" w:color="E5A928"/>
              <w:bottom w:val="single" w:sz="8" w:color="E5A928"/>
              <w:right w:val="single" w:sz="8" w:color="E5A928"/>
            </w:tcBorders>
          </w:tcPr>
          <w:p>
            <w:pPr>
              <w:spacing w:after="60"/>
            </w:pPr>
            <w:r>
              <w:rPr>
                <w:rFonts w:ascii="Noto Sans CJK SC" w:hAnsi="Noto Sans CJK SC" w:eastAsia="Noto Sans CJK SC"/>
                <w:b/>
                <w:color w:val="2344AA"/>
                <w:sz w:val="21"/>
              </w:rPr>
              <w:t>财务口径说明</w:t>
            </w:r>
          </w:p>
          <w:p>
            <w:pPr>
              <w:spacing w:after="0"/>
            </w:pPr>
            <w:r>
              <w:rPr>
                <w:rFonts w:ascii="Noto Sans CJK SC" w:hAnsi="Noto Sans CJK SC" w:eastAsia="Noto Sans CJK SC"/>
                <w:color w:val="30394C"/>
                <w:sz w:val="19"/>
              </w:rPr>
              <w:t>本 PRD 采用“赠送发生即确认营销费用”的内部管理口径，符合当前业务要求。若后续法定财务核算要求改为“实际消费时确认”，可在财务系统层增加递延及核销逻辑，但不得改变用户余额流水。</w:t>
            </w:r>
          </w:p>
        </w:tc>
      </w:tr>
    </w:tbl>
    <w:p>
      <w:pPr>
        <w:widowControl/>
        <w:spacing w:after="0"/>
      </w:pPr>
    </w:p>
    <w:p>
      <w:pPr>
        <w:pStyle w:val="Heading1"/>
        <w:keepNext/>
        <w:widowControl/>
      </w:pPr>
      <w:r>
        <w:rPr>
          <w:rFonts w:ascii="Noto Sans CJK SC" w:hAnsi="Noto Sans CJK SC" w:eastAsia="Noto Sans CJK SC"/>
        </w:rPr>
        <w:t>3. 功能一：用户余额账户与余额支付</w:t>
      </w:r>
    </w:p>
    <w:p>
      <w:pPr>
        <w:pStyle w:val="Heading2"/>
        <w:keepNext/>
        <w:widowControl/>
      </w:pPr>
      <w:r>
        <w:rPr>
          <w:rFonts w:ascii="Noto Sans CJK SC" w:hAnsi="Noto Sans CJK SC" w:eastAsia="Noto Sans CJK SC"/>
        </w:rPr>
        <w:t>3.1 用户端余额展示</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14"/>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页面/位置</w:t>
            </w:r>
          </w:p>
        </w:tc>
        <w:tc>
          <w:tcPr>
            <w:tcW w:type="dxa" w:w="3628"/>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展示内容</w:t>
            </w:r>
          </w:p>
        </w:tc>
        <w:tc>
          <w:tcPr>
            <w:tcW w:type="dxa" w:w="3402"/>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交互要求</w:t>
            </w:r>
          </w:p>
        </w:tc>
      </w:tr>
      <w:tr>
        <w:trPr>
          <w:cantSplit/>
        </w:trP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个人中心</w:t>
            </w:r>
          </w:p>
        </w:tc>
        <w:tc>
          <w:tcPr>
            <w:tcW w:type="dxa" w:w="362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当前可用余额、进入余额明细入口。</w:t>
            </w:r>
          </w:p>
        </w:tc>
        <w:tc>
          <w:tcPr>
            <w:tcW w:type="dxa" w:w="3402"/>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余额实时更新；点击进入账户详情。</w:t>
            </w:r>
          </w:p>
        </w:tc>
      </w:tr>
      <w:tr>
        <w:trPr>
          <w:cantSplit/>
        </w:trP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余额账户页</w:t>
            </w:r>
          </w:p>
        </w:tc>
        <w:tc>
          <w:tcPr>
            <w:tcW w:type="dxa" w:w="362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可用余额、累计获得、累计消费、流水列表。</w:t>
            </w:r>
          </w:p>
        </w:tc>
        <w:tc>
          <w:tcPr>
            <w:tcW w:type="dxa" w:w="3402"/>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支持按时间与类型筛选；展示业务说明。</w:t>
            </w:r>
          </w:p>
        </w:tc>
      </w:tr>
      <w:tr>
        <w:trPr>
          <w:cantSplit/>
        </w:trP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订单确认页</w:t>
            </w:r>
          </w:p>
        </w:tc>
        <w:tc>
          <w:tcPr>
            <w:tcW w:type="dxa" w:w="362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本次价格、可用余额、余额抵扣金额、仍需支付金额。</w:t>
            </w:r>
          </w:p>
        </w:tc>
        <w:tc>
          <w:tcPr>
            <w:tcW w:type="dxa" w:w="3402"/>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默认优先使用余额；用户可关闭余额支付。</w:t>
            </w:r>
          </w:p>
        </w:tc>
      </w:tr>
      <w:tr>
        <w:trPr>
          <w:cantSplit/>
        </w:trP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支付结果页</w:t>
            </w:r>
          </w:p>
        </w:tc>
        <w:tc>
          <w:tcPr>
            <w:tcW w:type="dxa" w:w="362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本次余额扣减、剩余余额、产出结果入口。</w:t>
            </w:r>
          </w:p>
        </w:tc>
        <w:tc>
          <w:tcPr>
            <w:tcW w:type="dxa" w:w="3402"/>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支付成功后立即更新。</w:t>
            </w:r>
          </w:p>
        </w:tc>
      </w:tr>
    </w:tbl>
    <w:p>
      <w:pPr>
        <w:widowControl/>
        <w:spacing w:after="0"/>
      </w:pPr>
    </w:p>
    <w:p>
      <w:pPr>
        <w:pStyle w:val="Heading2"/>
        <w:keepNext/>
        <w:widowControl/>
      </w:pPr>
      <w:r>
        <w:rPr>
          <w:rFonts w:ascii="Noto Sans CJK SC" w:hAnsi="Noto Sans CJK SC" w:eastAsia="Noto Sans CJK SC"/>
        </w:rPr>
        <w:t>3.2 余额支付规则</w:t>
      </w:r>
    </w:p>
    <w:p>
      <w:pPr>
        <w:pStyle w:val="ListNumber"/>
        <w:widowControl/>
      </w:pPr>
      <w:r>
        <w:rPr>
          <w:rFonts w:ascii="Noto Sans CJK SC" w:hAnsi="Noto Sans CJK SC" w:eastAsia="Noto Sans CJK SC"/>
        </w:rPr>
        <w:t>用户进入付费功能确认页时，系统实时读取可用余额。</w:t>
      </w:r>
    </w:p>
    <w:p>
      <w:pPr>
        <w:pStyle w:val="ListNumber"/>
        <w:widowControl/>
      </w:pPr>
      <w:r>
        <w:rPr>
          <w:rFonts w:ascii="Noto Sans CJK SC" w:hAnsi="Noto Sans CJK SC" w:eastAsia="Noto Sans CJK SC"/>
        </w:rPr>
        <w:t>默认开启“使用余额”，优先以余额抵扣订单金额。</w:t>
      </w:r>
    </w:p>
    <w:p>
      <w:pPr>
        <w:pStyle w:val="ListNumber"/>
        <w:widowControl/>
      </w:pPr>
      <w:r>
        <w:rPr>
          <w:rFonts w:ascii="Noto Sans CJK SC" w:hAnsi="Noto Sans CJK SC" w:eastAsia="Noto Sans CJK SC"/>
        </w:rPr>
        <w:t>余额大于或等于订单金额时，全部使用余额完成支付。</w:t>
      </w:r>
    </w:p>
    <w:p>
      <w:pPr>
        <w:pStyle w:val="ListNumber"/>
        <w:widowControl/>
      </w:pPr>
      <w:r>
        <w:rPr>
          <w:rFonts w:ascii="Noto Sans CJK SC" w:hAnsi="Noto Sans CJK SC" w:eastAsia="Noto Sans CJK SC"/>
        </w:rPr>
        <w:t>余额不足时，本期默认不支持余额与外部支付混合结算；提示用户余额不足，并按现有支付方式完成订单。系统需预留混合支付能力。</w:t>
      </w:r>
    </w:p>
    <w:p>
      <w:pPr>
        <w:pStyle w:val="ListNumber"/>
        <w:widowControl/>
      </w:pPr>
      <w:r>
        <w:rPr>
          <w:rFonts w:ascii="Noto Sans CJK SC" w:hAnsi="Noto Sans CJK SC" w:eastAsia="Noto Sans CJK SC"/>
        </w:rPr>
        <w:t>订单支付成功后，以事务方式同时完成订单状态更新、余额扣减和流水写入，任何一步失败均整体回滚。</w:t>
      </w:r>
    </w:p>
    <w:p>
      <w:pPr>
        <w:pStyle w:val="ListNumber"/>
        <w:widowControl/>
      </w:pPr>
      <w:r>
        <w:rPr>
          <w:rFonts w:ascii="Noto Sans CJK SC" w:hAnsi="Noto Sans CJK SC" w:eastAsia="Noto Sans CJK SC"/>
        </w:rPr>
        <w:t>重复提交时需通过订单号及幂等键防止重复扣款。</w:t>
      </w:r>
    </w:p>
    <w:p>
      <w:pPr>
        <w:pStyle w:val="Heading2"/>
        <w:keepNext/>
        <w:widowControl/>
      </w:pPr>
      <w:r>
        <w:rPr>
          <w:rFonts w:ascii="Noto Sans CJK SC" w:hAnsi="Noto Sans CJK SC" w:eastAsia="Noto Sans CJK SC"/>
        </w:rPr>
        <w:t>3.3 余额流水展示字段</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字段</w:t>
            </w:r>
          </w:p>
        </w:tc>
        <w:tc>
          <w:tcPr>
            <w:tcW w:type="dxa" w:w="4649"/>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说明</w:t>
            </w:r>
          </w:p>
        </w:tc>
        <w:tc>
          <w:tcPr>
            <w:tcW w:type="dxa" w:w="2551"/>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示例</w:t>
            </w:r>
          </w:p>
        </w:tc>
      </w:tr>
      <w:tr>
        <w:trPr>
          <w:cantSplit/>
        </w:trP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变动时间</w:t>
            </w:r>
          </w:p>
        </w:tc>
        <w:tc>
          <w:tcPr>
            <w:tcW w:type="dxa" w:w="464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流水生成时间。</w:t>
            </w:r>
          </w:p>
        </w:tc>
        <w:tc>
          <w:tcPr>
            <w:tcW w:type="dxa" w:w="255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2026-07-18 14:30:22</w:t>
            </w:r>
          </w:p>
        </w:tc>
      </w:tr>
      <w:tr>
        <w:trPr>
          <w:cantSplit/>
        </w:trP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类型</w:t>
            </w:r>
          </w:p>
        </w:tc>
        <w:tc>
          <w:tcPr>
            <w:tcW w:type="dxa" w:w="464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人工赠送、注册赠送、消费、退款、冲正等。</w:t>
            </w:r>
          </w:p>
        </w:tc>
        <w:tc>
          <w:tcPr>
            <w:tcW w:type="dxa" w:w="255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注册赠送</w:t>
            </w:r>
          </w:p>
        </w:tc>
      </w:tr>
      <w:tr>
        <w:trPr>
          <w:cantSplit/>
        </w:trP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变动金额</w:t>
            </w:r>
          </w:p>
        </w:tc>
        <w:tc>
          <w:tcPr>
            <w:tcW w:type="dxa" w:w="464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增加显示“+”，扣减显示“-”。</w:t>
            </w:r>
          </w:p>
        </w:tc>
        <w:tc>
          <w:tcPr>
            <w:tcW w:type="dxa" w:w="255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+20.00元</w:t>
            </w:r>
          </w:p>
        </w:tc>
      </w:tr>
      <w:tr>
        <w:trPr>
          <w:cantSplit/>
        </w:trP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变动后余额</w:t>
            </w:r>
          </w:p>
        </w:tc>
        <w:tc>
          <w:tcPr>
            <w:tcW w:type="dxa" w:w="464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本笔交易完成后的账户余额。</w:t>
            </w:r>
          </w:p>
        </w:tc>
        <w:tc>
          <w:tcPr>
            <w:tcW w:type="dxa" w:w="255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20.00元</w:t>
            </w:r>
          </w:p>
        </w:tc>
      </w:tr>
      <w:tr>
        <w:trPr>
          <w:cantSplit/>
        </w:trP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业务说明</w:t>
            </w:r>
          </w:p>
        </w:tc>
        <w:tc>
          <w:tcPr>
            <w:tcW w:type="dxa" w:w="464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面向用户的可理解描述。</w:t>
            </w:r>
          </w:p>
        </w:tc>
        <w:tc>
          <w:tcPr>
            <w:tcW w:type="dxa" w:w="255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新用户注册体验金</w:t>
            </w:r>
          </w:p>
        </w:tc>
      </w:tr>
      <w:tr>
        <w:trPr>
          <w:cantSplit/>
        </w:trPr>
        <w:tc>
          <w:tcPr>
            <w:tcW w:type="dxa" w:w="170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关联订单/活动</w:t>
            </w:r>
          </w:p>
        </w:tc>
        <w:tc>
          <w:tcPr>
            <w:tcW w:type="dxa" w:w="464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存在关联时展示编号或名称。</w:t>
            </w:r>
          </w:p>
        </w:tc>
        <w:tc>
          <w:tcPr>
            <w:tcW w:type="dxa" w:w="255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活动：2026新用户体验</w:t>
            </w:r>
          </w:p>
        </w:tc>
      </w:tr>
    </w:tbl>
    <w:p>
      <w:pPr>
        <w:widowControl/>
        <w:spacing w:after="0"/>
      </w:pPr>
    </w:p>
    <w:p>
      <w:pPr>
        <w:pStyle w:val="Heading1"/>
        <w:keepNext/>
        <w:widowControl/>
      </w:pPr>
      <w:r>
        <w:rPr>
          <w:rFonts w:ascii="Noto Sans CJK SC" w:hAnsi="Noto Sans CJK SC" w:eastAsia="Noto Sans CJK SC"/>
        </w:rPr>
        <w:t>4. 功能二：后台人工赠送余额</w:t>
      </w:r>
    </w:p>
    <w:p>
      <w:pPr>
        <w:pStyle w:val="Heading2"/>
        <w:keepNext/>
        <w:widowControl/>
      </w:pPr>
      <w:r>
        <w:rPr>
          <w:rFonts w:ascii="Noto Sans CJK SC" w:hAnsi="Noto Sans CJK SC" w:eastAsia="Noto Sans CJK SC"/>
        </w:rPr>
        <w:t>4.1 入口与操作流程</w:t>
      </w:r>
    </w:p>
    <w:p>
      <w:pPr>
        <w:pStyle w:val="BodyText"/>
        <w:widowControl/>
      </w:pPr>
      <w:r>
        <w:rPr>
          <w:rFonts w:ascii="Noto Sans CJK SC" w:hAnsi="Noto Sans CJK SC" w:eastAsia="Noto Sans CJK SC"/>
        </w:rPr>
        <w:t>后台路径建议：用户管理 → 用户详情 → 余额账户 →【赠送余额】。操作员也可在“余额管理”页面通过手机号、用户ID或邮箱搜索用户后发放。</w:t>
      </w:r>
    </w:p>
    <w:p>
      <w:pPr>
        <w:pStyle w:val="ListNumber"/>
        <w:widowControl/>
      </w:pPr>
      <w:r>
        <w:rPr>
          <w:rFonts w:ascii="Noto Sans CJK SC" w:hAnsi="Noto Sans CJK SC" w:eastAsia="Noto Sans CJK SC"/>
        </w:rPr>
        <w:t>管理员搜索并确认目标用户身份。</w:t>
      </w:r>
    </w:p>
    <w:p>
      <w:pPr>
        <w:pStyle w:val="ListNumber"/>
        <w:widowControl/>
      </w:pPr>
      <w:r>
        <w:rPr>
          <w:rFonts w:ascii="Noto Sans CJK SC" w:hAnsi="Noto Sans CJK SC" w:eastAsia="Noto Sans CJK SC"/>
        </w:rPr>
        <w:t>点击“赠送余额”，填写金额、赠送类型、活动/用途、原因及备注。</w:t>
      </w:r>
    </w:p>
    <w:p>
      <w:pPr>
        <w:pStyle w:val="ListNumber"/>
        <w:widowControl/>
      </w:pPr>
      <w:r>
        <w:rPr>
          <w:rFonts w:ascii="Noto Sans CJK SC" w:hAnsi="Noto Sans CJK SC" w:eastAsia="Noto Sans CJK SC"/>
        </w:rPr>
        <w:t>系统展示确认弹窗，明确提示“本次赠送将计入营销费用”。</w:t>
      </w:r>
    </w:p>
    <w:p>
      <w:pPr>
        <w:pStyle w:val="ListNumber"/>
        <w:widowControl/>
      </w:pPr>
      <w:r>
        <w:rPr>
          <w:rFonts w:ascii="Noto Sans CJK SC" w:hAnsi="Noto Sans CJK SC" w:eastAsia="Noto Sans CJK SC"/>
        </w:rPr>
        <w:t>管理员二次确认后，系统增加用户余额，同时生成余额流水、营销费用记录和操作审计日志。</w:t>
      </w:r>
    </w:p>
    <w:p>
      <w:pPr>
        <w:pStyle w:val="ListNumber"/>
        <w:widowControl/>
      </w:pPr>
      <w:r>
        <w:rPr>
          <w:rFonts w:ascii="Noto Sans CJK SC" w:hAnsi="Noto Sans CJK SC" w:eastAsia="Noto Sans CJK SC"/>
        </w:rPr>
        <w:t>发放成功后，可选择向用户发送站内通知；默认开启。</w:t>
      </w:r>
    </w:p>
    <w:p>
      <w:pPr>
        <w:pStyle w:val="Heading2"/>
        <w:keepNext/>
        <w:widowControl/>
      </w:pPr>
      <w:r>
        <w:rPr>
          <w:rFonts w:ascii="Noto Sans CJK SC" w:hAnsi="Noto Sans CJK SC" w:eastAsia="Noto Sans CJK SC"/>
        </w:rPr>
        <w:t>4.2 表单字段</w:t>
      </w:r>
    </w:p>
    <w:tbl>
      <w:tblPr>
        <w:tblStyle w:val="TableGrid"/>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587"/>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字段</w:t>
            </w:r>
          </w:p>
        </w:tc>
        <w:tc>
          <w:tcPr>
            <w:tcW w:type="dxa" w:w="1361"/>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类型</w:t>
            </w:r>
          </w:p>
        </w:tc>
        <w:tc>
          <w:tcPr>
            <w:tcW w:type="dxa" w:w="964"/>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必填</w:t>
            </w:r>
          </w:p>
        </w:tc>
        <w:tc>
          <w:tcPr>
            <w:tcW w:type="dxa" w:w="4989"/>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规则/说明</w:t>
            </w:r>
          </w:p>
        </w:tc>
      </w:tr>
      <w:tr>
        <w:trPr>
          <w:cantSplit/>
        </w:trP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目标用户</w:t>
            </w:r>
          </w:p>
        </w:tc>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只读</w:t>
            </w:r>
          </w:p>
        </w:tc>
        <w:tc>
          <w:tcPr>
            <w:tcW w:type="dxa" w:w="96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c>
          <w:tcPr>
            <w:tcW w:type="dxa" w:w="498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显示用户ID、昵称、手机号掩码及当前余额，防止发错账户。</w:t>
            </w:r>
          </w:p>
        </w:tc>
      </w:tr>
      <w:tr>
        <w:trPr>
          <w:cantSplit/>
        </w:trP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赠送金额</w:t>
            </w:r>
          </w:p>
        </w:tc>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金额输入</w:t>
            </w:r>
          </w:p>
        </w:tc>
        <w:tc>
          <w:tcPr>
            <w:tcW w:type="dxa" w:w="96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c>
          <w:tcPr>
            <w:tcW w:type="dxa" w:w="498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大于0，精确到0.01元；单笔上限由权限配置控制。</w:t>
            </w:r>
          </w:p>
        </w:tc>
      </w:tr>
      <w:tr>
        <w:trPr>
          <w:cantSplit/>
        </w:trP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赠送类型</w:t>
            </w:r>
          </w:p>
        </w:tc>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下拉</w:t>
            </w:r>
          </w:p>
        </w:tc>
        <w:tc>
          <w:tcPr>
            <w:tcW w:type="dxa" w:w="96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c>
          <w:tcPr>
            <w:tcW w:type="dxa" w:w="498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测试账户、合作推广、营销活动、客诉补偿、其他。</w:t>
            </w:r>
          </w:p>
        </w:tc>
      </w:tr>
      <w:tr>
        <w:trPr>
          <w:cantSplit/>
        </w:trP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关联活动</w:t>
            </w:r>
          </w:p>
        </w:tc>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选择/新建</w:t>
            </w:r>
          </w:p>
        </w:tc>
        <w:tc>
          <w:tcPr>
            <w:tcW w:type="dxa" w:w="96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否</w:t>
            </w:r>
          </w:p>
        </w:tc>
        <w:tc>
          <w:tcPr>
            <w:tcW w:type="dxa" w:w="498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营销活动场景建议必选，便于费用归集。</w:t>
            </w:r>
          </w:p>
        </w:tc>
      </w:tr>
      <w:tr>
        <w:trPr>
          <w:cantSplit/>
        </w:trP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赠送原因</w:t>
            </w:r>
          </w:p>
        </w:tc>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文本</w:t>
            </w:r>
          </w:p>
        </w:tc>
        <w:tc>
          <w:tcPr>
            <w:tcW w:type="dxa" w:w="96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c>
          <w:tcPr>
            <w:tcW w:type="dxa" w:w="498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10-200字，说明业务背景。</w:t>
            </w:r>
          </w:p>
        </w:tc>
      </w:tr>
      <w:tr>
        <w:trPr>
          <w:cantSplit/>
        </w:trP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内部备注</w:t>
            </w:r>
          </w:p>
        </w:tc>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文本</w:t>
            </w:r>
          </w:p>
        </w:tc>
        <w:tc>
          <w:tcPr>
            <w:tcW w:type="dxa" w:w="96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否</w:t>
            </w:r>
          </w:p>
        </w:tc>
        <w:tc>
          <w:tcPr>
            <w:tcW w:type="dxa" w:w="498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仅后台可见。</w:t>
            </w:r>
          </w:p>
        </w:tc>
      </w:tr>
      <w:tr>
        <w:trPr>
          <w:cantSplit/>
        </w:trPr>
        <w:tc>
          <w:tcPr>
            <w:tcW w:type="dxa" w:w="158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通知用户</w:t>
            </w:r>
          </w:p>
        </w:tc>
        <w:tc>
          <w:tcPr>
            <w:tcW w:type="dxa" w:w="13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开关</w:t>
            </w:r>
          </w:p>
        </w:tc>
        <w:tc>
          <w:tcPr>
            <w:tcW w:type="dxa" w:w="96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c>
          <w:tcPr>
            <w:tcW w:type="dxa" w:w="498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默认开启；关闭时需填写原因。</w:t>
            </w:r>
          </w:p>
        </w:tc>
      </w:tr>
    </w:tbl>
    <w:p>
      <w:pPr>
        <w:widowControl/>
        <w:spacing w:after="0"/>
      </w:pPr>
    </w:p>
    <w:p>
      <w:pPr>
        <w:pStyle w:val="Heading2"/>
        <w:keepNext/>
        <w:widowControl/>
      </w:pPr>
      <w:r>
        <w:rPr>
          <w:rFonts w:ascii="Noto Sans CJK SC" w:hAnsi="Noto Sans CJK SC" w:eastAsia="Noto Sans CJK SC"/>
        </w:rPr>
        <w:t>4.3 权限与风控</w:t>
      </w:r>
    </w:p>
    <w:p>
      <w:pPr>
        <w:pStyle w:val="ListBullet"/>
        <w:widowControl/>
      </w:pPr>
      <w:r>
        <w:rPr>
          <w:rFonts w:ascii="Noto Sans CJK SC" w:hAnsi="Noto Sans CJK SC" w:eastAsia="Noto Sans CJK SC"/>
        </w:rPr>
        <w:t>普通运营管理员：单笔及单日累计额度受限，例如单笔≤500元、单日≤2,000元；具体数值后台可配置。</w:t>
      </w:r>
    </w:p>
    <w:p>
      <w:pPr>
        <w:pStyle w:val="ListBullet"/>
        <w:widowControl/>
      </w:pPr>
      <w:r>
        <w:rPr>
          <w:rFonts w:ascii="Noto Sans CJK SC" w:hAnsi="Noto Sans CJK SC" w:eastAsia="Noto Sans CJK SC"/>
        </w:rPr>
        <w:t>超过权限额度的赠送申请进入超级管理员审批；审批通过后才实际入账。</w:t>
      </w:r>
    </w:p>
    <w:p>
      <w:pPr>
        <w:pStyle w:val="ListBullet"/>
        <w:widowControl/>
      </w:pPr>
      <w:r>
        <w:rPr>
          <w:rFonts w:ascii="Noto Sans CJK SC" w:hAnsi="Noto Sans CJK SC" w:eastAsia="Noto Sans CJK SC"/>
        </w:rPr>
        <w:t>管理员不得给自己账户赠送余额；如业务确需，必须由另一名超级管理员审批。</w:t>
      </w:r>
    </w:p>
    <w:p>
      <w:pPr>
        <w:pStyle w:val="ListBullet"/>
        <w:widowControl/>
      </w:pPr>
      <w:r>
        <w:rPr>
          <w:rFonts w:ascii="Noto Sans CJK SC" w:hAnsi="Noto Sans CJK SC" w:eastAsia="Noto Sans CJK SC"/>
        </w:rPr>
        <w:t>相同管理员向相同用户短时间内重复赠送相同金额时，系统弹出重复操作提醒。</w:t>
      </w:r>
    </w:p>
    <w:p>
      <w:pPr>
        <w:pStyle w:val="ListBullet"/>
        <w:widowControl/>
      </w:pPr>
      <w:r>
        <w:rPr>
          <w:rFonts w:ascii="Noto Sans CJK SC" w:hAnsi="Noto Sans CJK SC" w:eastAsia="Noto Sans CJK SC"/>
        </w:rPr>
        <w:t>赠送成功后不得直接修改或删除原流水；纠错必须通过“撤销/冲正”生成反向流水。</w:t>
      </w:r>
    </w:p>
    <w:p>
      <w:pPr>
        <w:pStyle w:val="Heading2"/>
        <w:keepNext/>
        <w:widowControl/>
      </w:pPr>
      <w:r>
        <w:rPr>
          <w:rFonts w:ascii="Noto Sans CJK SC" w:hAnsi="Noto Sans CJK SC" w:eastAsia="Noto Sans CJK SC"/>
        </w:rPr>
        <w:t>4.4 撤销与冲正</w:t>
      </w:r>
    </w:p>
    <w:p>
      <w:pPr>
        <w:pStyle w:val="BodyText"/>
        <w:widowControl/>
      </w:pPr>
      <w:r>
        <w:rPr>
          <w:rFonts w:ascii="Noto Sans CJK SC" w:hAnsi="Noto Sans CJK SC" w:eastAsia="Noto Sans CJK SC"/>
        </w:rPr>
        <w:t>仅超级管理员可对人工赠送执行撤销。系统应优先撤销尚未消费的赠送余额；若用户可用余额不足以覆盖撤销金额，则不允许直接撤销，需走“异常余额调整”流程并由财务复核。撤销成功后同步生成营销费用冲正记录。</w:t>
      </w:r>
    </w:p>
    <w:p>
      <w:pPr>
        <w:pStyle w:val="Heading1"/>
        <w:keepNext/>
        <w:widowControl/>
      </w:pPr>
      <w:r>
        <w:rPr>
          <w:rFonts w:ascii="Noto Sans CJK SC" w:hAnsi="Noto Sans CJK SC" w:eastAsia="Noto Sans CJK SC"/>
        </w:rPr>
        <w:t>5. 功能三：新用户注册赠送</w:t>
      </w:r>
    </w:p>
    <w:p>
      <w:pPr>
        <w:pStyle w:val="Heading2"/>
        <w:keepNext/>
        <w:widowControl/>
      </w:pPr>
      <w:r>
        <w:rPr>
          <w:rFonts w:ascii="Noto Sans CJK SC" w:hAnsi="Noto Sans CJK SC" w:eastAsia="Noto Sans CJK SC"/>
        </w:rPr>
        <w:t>5.1 后台配置项</w:t>
      </w:r>
    </w:p>
    <w:tbl>
      <w:tblPr>
        <w:tblStyle w:val="TableGrid"/>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757"/>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配置项</w:t>
            </w:r>
          </w:p>
        </w:tc>
        <w:tc>
          <w:tcPr>
            <w:tcW w:type="dxa" w:w="850"/>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必填</w:t>
            </w:r>
          </w:p>
        </w:tc>
        <w:tc>
          <w:tcPr>
            <w:tcW w:type="dxa" w:w="1814"/>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默认值</w:t>
            </w:r>
          </w:p>
        </w:tc>
        <w:tc>
          <w:tcPr>
            <w:tcW w:type="dxa" w:w="4535"/>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说明</w:t>
            </w:r>
          </w:p>
        </w:tc>
      </w:tr>
      <w:tr>
        <w:trPr>
          <w:cantSplit/>
        </w:trP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活动开关</w:t>
            </w:r>
          </w:p>
        </w:tc>
        <w:tc>
          <w:tcPr>
            <w:tcW w:type="dxa" w:w="85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关闭</w:t>
            </w:r>
          </w:p>
        </w:tc>
        <w:tc>
          <w:tcPr>
            <w:tcW w:type="dxa" w:w="453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控制新注册用户是否自动获得赠送余额。</w:t>
            </w:r>
          </w:p>
        </w:tc>
      </w:tr>
      <w:tr>
        <w:trPr>
          <w:cantSplit/>
        </w:trP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活动名称</w:t>
            </w:r>
          </w:p>
        </w:tc>
        <w:tc>
          <w:tcPr>
            <w:tcW w:type="dxa" w:w="85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新用户注册体验金</w:t>
            </w:r>
          </w:p>
        </w:tc>
        <w:tc>
          <w:tcPr>
            <w:tcW w:type="dxa" w:w="453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用于后台归集、流水说明及营销费用统计。</w:t>
            </w:r>
          </w:p>
        </w:tc>
      </w:tr>
      <w:tr>
        <w:trPr>
          <w:cantSplit/>
        </w:trP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赠送金额</w:t>
            </w:r>
          </w:p>
        </w:tc>
        <w:tc>
          <w:tcPr>
            <w:tcW w:type="dxa" w:w="85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20.00元</w:t>
            </w:r>
          </w:p>
        </w:tc>
        <w:tc>
          <w:tcPr>
            <w:tcW w:type="dxa" w:w="453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大于0，精确到0.01元。</w:t>
            </w:r>
          </w:p>
        </w:tc>
      </w:tr>
      <w:tr>
        <w:trPr>
          <w:cantSplit/>
        </w:trP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活动开始/结束时间</w:t>
            </w:r>
          </w:p>
        </w:tc>
        <w:tc>
          <w:tcPr>
            <w:tcW w:type="dxa" w:w="85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否</w:t>
            </w:r>
          </w:p>
        </w:tc>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长期有效</w:t>
            </w:r>
          </w:p>
        </w:tc>
        <w:tc>
          <w:tcPr>
            <w:tcW w:type="dxa" w:w="453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未配置时长期生效；结束后新用户不再赠送。</w:t>
            </w:r>
          </w:p>
        </w:tc>
      </w:tr>
      <w:tr>
        <w:trPr>
          <w:cantSplit/>
        </w:trP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余额有效期</w:t>
            </w:r>
          </w:p>
        </w:tc>
        <w:tc>
          <w:tcPr>
            <w:tcW w:type="dxa" w:w="85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否</w:t>
            </w:r>
          </w:p>
        </w:tc>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永久有效</w:t>
            </w:r>
          </w:p>
        </w:tc>
        <w:tc>
          <w:tcPr>
            <w:tcW w:type="dxa" w:w="453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本期可先固定永久有效，数据层预留到期时间。</w:t>
            </w:r>
          </w:p>
        </w:tc>
      </w:tr>
      <w:tr>
        <w:trPr>
          <w:cantSplit/>
        </w:trP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注册成功文案</w:t>
            </w:r>
          </w:p>
        </w:tc>
        <w:tc>
          <w:tcPr>
            <w:tcW w:type="dxa" w:w="85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恭喜获得20元体验余额</w:t>
            </w:r>
          </w:p>
        </w:tc>
        <w:tc>
          <w:tcPr>
            <w:tcW w:type="dxa" w:w="453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支持变量：{amount}。</w:t>
            </w:r>
          </w:p>
        </w:tc>
      </w:tr>
      <w:tr>
        <w:trPr>
          <w:cantSplit/>
        </w:trP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引导按钮文案</w:t>
            </w:r>
          </w:p>
        </w:tc>
        <w:tc>
          <w:tcPr>
            <w:tcW w:type="dxa" w:w="85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是</w:t>
            </w:r>
          </w:p>
        </w:tc>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立即体验</w:t>
            </w:r>
          </w:p>
        </w:tc>
        <w:tc>
          <w:tcPr>
            <w:tcW w:type="dxa" w:w="453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跳转到指定核心功能页面。</w:t>
            </w:r>
          </w:p>
        </w:tc>
      </w:tr>
      <w:tr>
        <w:trPr>
          <w:cantSplit/>
        </w:trPr>
        <w:tc>
          <w:tcPr>
            <w:tcW w:type="dxa" w:w="1757"/>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适用注册渠道</w:t>
            </w:r>
          </w:p>
        </w:tc>
        <w:tc>
          <w:tcPr>
            <w:tcW w:type="dxa" w:w="85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否</w:t>
            </w:r>
          </w:p>
        </w:tc>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全部渠道</w:t>
            </w:r>
          </w:p>
        </w:tc>
        <w:tc>
          <w:tcPr>
            <w:tcW w:type="dxa" w:w="453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预留官网、活动链接、邀请码等渠道。</w:t>
            </w:r>
          </w:p>
        </w:tc>
      </w:tr>
    </w:tbl>
    <w:p>
      <w:pPr>
        <w:widowControl/>
        <w:spacing w:after="0"/>
      </w:pPr>
    </w:p>
    <w:p>
      <w:pPr>
        <w:pStyle w:val="Heading2"/>
        <w:keepNext/>
        <w:widowControl/>
      </w:pPr>
      <w:r>
        <w:rPr>
          <w:rFonts w:ascii="Noto Sans CJK SC" w:hAnsi="Noto Sans CJK SC" w:eastAsia="Noto Sans CJK SC"/>
        </w:rPr>
        <w:t>5.2 发放规则</w:t>
      </w:r>
    </w:p>
    <w:p>
      <w:pPr>
        <w:pStyle w:val="ListNumber"/>
        <w:widowControl/>
      </w:pPr>
      <w:r>
        <w:rPr>
          <w:rFonts w:ascii="Noto Sans CJK SC" w:hAnsi="Noto Sans CJK SC" w:eastAsia="Noto Sans CJK SC"/>
        </w:rPr>
        <w:t>用户完成有效注册并创建账户后，系统读取当前生效的注册赠送配置。</w:t>
      </w:r>
    </w:p>
    <w:p>
      <w:pPr>
        <w:pStyle w:val="ListNumber"/>
        <w:widowControl/>
      </w:pPr>
      <w:r>
        <w:rPr>
          <w:rFonts w:ascii="Noto Sans CJK SC" w:hAnsi="Noto Sans CJK SC" w:eastAsia="Noto Sans CJK SC"/>
        </w:rPr>
        <w:t>活动开启且用户满足条件时，自动向余额账户发放配置金额。</w:t>
      </w:r>
    </w:p>
    <w:p>
      <w:pPr>
        <w:pStyle w:val="ListNumber"/>
        <w:widowControl/>
      </w:pPr>
      <w:r>
        <w:rPr>
          <w:rFonts w:ascii="Noto Sans CJK SC" w:hAnsi="Noto Sans CJK SC" w:eastAsia="Noto Sans CJK SC"/>
        </w:rPr>
        <w:t>同一用户仅可获得一次同一活动赠送。初期以“用户ID + 已验证手机号 + 活动ID”联合去重。</w:t>
      </w:r>
    </w:p>
    <w:p>
      <w:pPr>
        <w:pStyle w:val="ListNumber"/>
        <w:widowControl/>
      </w:pPr>
      <w:r>
        <w:rPr>
          <w:rFonts w:ascii="Noto Sans CJK SC" w:hAnsi="Noto Sans CJK SC" w:eastAsia="Noto Sans CJK SC"/>
        </w:rPr>
        <w:t>发放成功后同时写入余额流水、营销费用台账和活动发放记录。</w:t>
      </w:r>
    </w:p>
    <w:p>
      <w:pPr>
        <w:pStyle w:val="ListNumber"/>
        <w:widowControl/>
      </w:pPr>
      <w:r>
        <w:rPr>
          <w:rFonts w:ascii="Noto Sans CJK SC" w:hAnsi="Noto Sans CJK SC" w:eastAsia="Noto Sans CJK SC"/>
        </w:rPr>
        <w:t>发放失败不阻断注册流程，系统记录失败原因并进入补偿队列；补偿成功后再发送到账通知。</w:t>
      </w:r>
    </w:p>
    <w:p>
      <w:pPr>
        <w:pStyle w:val="Heading2"/>
        <w:keepNext/>
        <w:widowControl/>
      </w:pPr>
      <w:r>
        <w:rPr>
          <w:rFonts w:ascii="Noto Sans CJK SC" w:hAnsi="Noto Sans CJK SC" w:eastAsia="Noto Sans CJK SC"/>
        </w:rPr>
        <w:t>5.3 用户提示与体验引导</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928"/>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触点</w:t>
            </w:r>
          </w:p>
        </w:tc>
        <w:tc>
          <w:tcPr>
            <w:tcW w:type="dxa" w:w="3402"/>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展示要求</w:t>
            </w:r>
          </w:p>
        </w:tc>
        <w:tc>
          <w:tcPr>
            <w:tcW w:type="dxa" w:w="3628"/>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建议文案</w:t>
            </w:r>
          </w:p>
        </w:tc>
      </w:tr>
      <w:tr>
        <w:trPr>
          <w:cantSplit/>
        </w:trPr>
        <w:tc>
          <w:tcPr>
            <w:tcW w:type="dxa" w:w="192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注册成功页/首次登录弹窗</w:t>
            </w:r>
          </w:p>
        </w:tc>
        <w:tc>
          <w:tcPr>
            <w:tcW w:type="dxa" w:w="3402"/>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高优先级展示余额到账信息、当前余额与体验按钮。</w:t>
            </w:r>
          </w:p>
        </w:tc>
        <w:tc>
          <w:tcPr>
            <w:tcW w:type="dxa" w:w="362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注册成功！已送你20元体验余额，可立即体验AI简历优化。</w:t>
            </w:r>
          </w:p>
        </w:tc>
      </w:tr>
      <w:tr>
        <w:trPr>
          <w:cantSplit/>
        </w:trPr>
        <w:tc>
          <w:tcPr>
            <w:tcW w:type="dxa" w:w="192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站内消息</w:t>
            </w:r>
          </w:p>
        </w:tc>
        <w:tc>
          <w:tcPr>
            <w:tcW w:type="dxa" w:w="3402"/>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形成可追溯通知记录。</w:t>
            </w:r>
          </w:p>
        </w:tc>
        <w:tc>
          <w:tcPr>
            <w:tcW w:type="dxa" w:w="362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20元新用户体验余额已到账。</w:t>
            </w:r>
          </w:p>
        </w:tc>
      </w:tr>
      <w:tr>
        <w:trPr>
          <w:cantSplit/>
        </w:trPr>
        <w:tc>
          <w:tcPr>
            <w:tcW w:type="dxa" w:w="192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个人中心余额卡片</w:t>
            </w:r>
          </w:p>
        </w:tc>
        <w:tc>
          <w:tcPr>
            <w:tcW w:type="dxa" w:w="3402"/>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突出可用余额及“去体验”入口。</w:t>
            </w:r>
          </w:p>
        </w:tc>
        <w:tc>
          <w:tcPr>
            <w:tcW w:type="dxa" w:w="362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可用余额：20.00元</w:t>
            </w:r>
          </w:p>
        </w:tc>
      </w:tr>
      <w:tr>
        <w:trPr>
          <w:cantSplit/>
        </w:trPr>
        <w:tc>
          <w:tcPr>
            <w:tcW w:type="dxa" w:w="192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余额明细</w:t>
            </w:r>
          </w:p>
        </w:tc>
        <w:tc>
          <w:tcPr>
            <w:tcW w:type="dxa" w:w="3402"/>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清晰标记来源。</w:t>
            </w:r>
          </w:p>
        </w:tc>
        <w:tc>
          <w:tcPr>
            <w:tcW w:type="dxa" w:w="362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新用户注册体验金 +20.00元</w:t>
            </w:r>
          </w:p>
        </w:tc>
      </w:tr>
    </w:tbl>
    <w:p>
      <w:pPr>
        <w:widowControl/>
        <w:spacing w:after="0"/>
      </w:pPr>
    </w:p>
    <w:p>
      <w:pPr>
        <w:pStyle w:val="Heading2"/>
        <w:keepNext/>
        <w:widowControl/>
      </w:pPr>
      <w:r>
        <w:rPr>
          <w:rFonts w:ascii="Noto Sans CJK SC" w:hAnsi="Noto Sans CJK SC" w:eastAsia="Noto Sans CJK SC"/>
        </w:rPr>
        <w:t>5.4 页面状态</w:t>
      </w:r>
    </w:p>
    <w:p>
      <w:pPr>
        <w:pStyle w:val="ListBullet"/>
        <w:widowControl/>
      </w:pPr>
      <w:r>
        <w:rPr>
          <w:rFonts w:ascii="Noto Sans CJK SC" w:hAnsi="Noto Sans CJK SC" w:eastAsia="Noto Sans CJK SC"/>
        </w:rPr>
        <w:t>到账成功：展示金额、余额及主行动按钮。</w:t>
      </w:r>
    </w:p>
    <w:p>
      <w:pPr>
        <w:pStyle w:val="ListBullet"/>
        <w:widowControl/>
      </w:pPr>
      <w:r>
        <w:rPr>
          <w:rFonts w:ascii="Noto Sans CJK SC" w:hAnsi="Noto Sans CJK SC" w:eastAsia="Noto Sans CJK SC"/>
        </w:rPr>
        <w:t>不符合活动条件：正常完成注册，不展示赠送文案。</w:t>
      </w:r>
    </w:p>
    <w:p>
      <w:pPr>
        <w:pStyle w:val="ListBullet"/>
        <w:widowControl/>
      </w:pPr>
      <w:r>
        <w:rPr>
          <w:rFonts w:ascii="Noto Sans CJK SC" w:hAnsi="Noto Sans CJK SC" w:eastAsia="Noto Sans CJK SC"/>
        </w:rPr>
        <w:t>到账处理中：提示“体验余额正在到账”，后台自动补偿。</w:t>
      </w:r>
    </w:p>
    <w:p>
      <w:pPr>
        <w:pStyle w:val="ListBullet"/>
        <w:widowControl/>
      </w:pPr>
      <w:r>
        <w:rPr>
          <w:rFonts w:ascii="Noto Sans CJK SC" w:hAnsi="Noto Sans CJK SC" w:eastAsia="Noto Sans CJK SC"/>
        </w:rPr>
        <w:t>活动结束或关闭：仅影响之后注册的新用户，不回收已发放余额。</w:t>
      </w:r>
    </w:p>
    <w:p>
      <w:pPr>
        <w:pStyle w:val="Heading1"/>
        <w:keepNext/>
        <w:widowControl/>
      </w:pPr>
      <w:r>
        <w:rPr>
          <w:rFonts w:ascii="Noto Sans CJK SC" w:hAnsi="Noto Sans CJK SC" w:eastAsia="Noto Sans CJK SC"/>
        </w:rPr>
        <w:t>6. 后台管理与报表</w:t>
      </w:r>
    </w:p>
    <w:p>
      <w:pPr>
        <w:pStyle w:val="Heading2"/>
        <w:keepNext/>
        <w:widowControl/>
      </w:pPr>
      <w:r>
        <w:rPr>
          <w:rFonts w:ascii="Noto Sans CJK SC" w:hAnsi="Noto Sans CJK SC" w:eastAsia="Noto Sans CJK SC"/>
        </w:rPr>
        <w:t>6.1 后台页面清单</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页面</w:t>
            </w:r>
          </w:p>
        </w:tc>
        <w:tc>
          <w:tcPr>
            <w:tcW w:type="dxa" w:w="6690"/>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核心能力</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用户详情-余额账户</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查看可用余额、累计增加/消费、全部流水；发起赠送或高权限调整。</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余额流水管理</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按用户、类型、时间、操作人、活动及订单查询与导出。</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注册赠送配置</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活动开关、金额、时间、文案、跳转页面与适用渠道配置。</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营销费用台账</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查看人工赠送、注册赠送、充值赠送及冲正记录。</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赠送审批中心</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处理超额度赠送、管理员本人账户赠送及异常调整申请。</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操作审计日志</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记录配置变更、赠送、撤销、审批和导出行为。</w:t>
            </w:r>
          </w:p>
        </w:tc>
      </w:tr>
    </w:tbl>
    <w:p>
      <w:pPr>
        <w:widowControl/>
        <w:spacing w:after="0"/>
      </w:pPr>
    </w:p>
    <w:p>
      <w:pPr>
        <w:pStyle w:val="Heading2"/>
        <w:keepNext/>
        <w:widowControl/>
      </w:pPr>
      <w:r>
        <w:rPr>
          <w:rFonts w:ascii="Noto Sans CJK SC" w:hAnsi="Noto Sans CJK SC" w:eastAsia="Noto Sans CJK SC"/>
        </w:rPr>
        <w:t>6.2 营销费用台账字段</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字段</w:t>
            </w:r>
          </w:p>
        </w:tc>
        <w:tc>
          <w:tcPr>
            <w:tcW w:type="dxa" w:w="6690"/>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说明</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费用记录ID</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唯一编号，不可重复。</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发生时间</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赠送或冲正实际入账时间。</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费用类型</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人工赠送、注册赠送、充值赠送、费用冲正。</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费用金额</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正数表示新增费用，负数表示冲正。</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用户信息</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用户ID、昵称、手机号掩码。</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活动信息</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活动ID、活动名称、渠道。</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关联余额流水ID</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用于账务与余额双向核对。</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操作人/审批人</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自动发放时标记为SYSTEM。</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业务原因</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赠送原因或规则说明。</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状态</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已入账、已冲正、异常待处理。</w:t>
            </w:r>
          </w:p>
        </w:tc>
      </w:tr>
    </w:tbl>
    <w:p>
      <w:pPr>
        <w:widowControl/>
        <w:spacing w:after="0"/>
      </w:pPr>
    </w:p>
    <w:p>
      <w:pPr>
        <w:pStyle w:val="Heading2"/>
        <w:keepNext/>
        <w:widowControl/>
      </w:pPr>
      <w:r>
        <w:rPr>
          <w:rFonts w:ascii="Noto Sans CJK SC" w:hAnsi="Noto Sans CJK SC" w:eastAsia="Noto Sans CJK SC"/>
        </w:rPr>
        <w:t>6.3 核心统计指标</w:t>
      </w:r>
    </w:p>
    <w:p>
      <w:pPr>
        <w:pStyle w:val="ListBullet"/>
        <w:widowControl/>
      </w:pPr>
      <w:r>
        <w:rPr>
          <w:rFonts w:ascii="Noto Sans CJK SC" w:hAnsi="Noto Sans CJK SC" w:eastAsia="Noto Sans CJK SC"/>
        </w:rPr>
        <w:t>赠送金额：按日/周/月、来源类型、活动、渠道、管理员统计。</w:t>
      </w:r>
    </w:p>
    <w:p>
      <w:pPr>
        <w:pStyle w:val="ListBullet"/>
        <w:widowControl/>
      </w:pPr>
      <w:r>
        <w:rPr>
          <w:rFonts w:ascii="Noto Sans CJK SC" w:hAnsi="Noto Sans CJK SC" w:eastAsia="Noto Sans CJK SC"/>
        </w:rPr>
        <w:t>赠送用户数与人均赠送金额。</w:t>
      </w:r>
    </w:p>
    <w:p>
      <w:pPr>
        <w:pStyle w:val="ListBullet"/>
        <w:widowControl/>
      </w:pPr>
      <w:r>
        <w:rPr>
          <w:rFonts w:ascii="Noto Sans CJK SC" w:hAnsi="Noto Sans CJK SC" w:eastAsia="Noto Sans CJK SC"/>
        </w:rPr>
        <w:t>赠送余额使用率 = 已消费赠送金额 ÷ 已发放赠送金额。</w:t>
      </w:r>
    </w:p>
    <w:p>
      <w:pPr>
        <w:pStyle w:val="ListBullet"/>
        <w:widowControl/>
      </w:pPr>
      <w:r>
        <w:rPr>
          <w:rFonts w:ascii="Noto Sans CJK SC" w:hAnsi="Noto Sans CJK SC" w:eastAsia="Noto Sans CJK SC"/>
        </w:rPr>
        <w:t>注册赠送领取成功率、首次消费转化率、首次消费时间。</w:t>
      </w:r>
    </w:p>
    <w:p>
      <w:pPr>
        <w:pStyle w:val="ListBullet"/>
        <w:widowControl/>
      </w:pPr>
      <w:r>
        <w:rPr>
          <w:rFonts w:ascii="Noto Sans CJK SC" w:hAnsi="Noto Sans CJK SC" w:eastAsia="Noto Sans CJK SC"/>
        </w:rPr>
        <w:t>余额沉淀金额、异常赠送笔数、撤销/冲正金额。</w:t>
      </w:r>
    </w:p>
    <w:p>
      <w:pPr>
        <w:pStyle w:val="ListBullet"/>
        <w:widowControl/>
      </w:pPr>
      <w:r>
        <w:rPr>
          <w:rFonts w:ascii="Noto Sans CJK SC" w:hAnsi="Noto Sans CJK SC" w:eastAsia="Noto Sans CJK SC"/>
        </w:rPr>
        <w:t>未来充值活动：充值本金、赠送金额、营销费率、核销率及毛利影响。</w:t>
      </w:r>
    </w:p>
    <w:p>
      <w:pPr>
        <w:pStyle w:val="Heading1"/>
        <w:keepNext/>
        <w:widowControl/>
      </w:pPr>
      <w:r>
        <w:rPr>
          <w:rFonts w:ascii="Noto Sans CJK SC" w:hAnsi="Noto Sans CJK SC" w:eastAsia="Noto Sans CJK SC"/>
        </w:rPr>
        <w:t>7. 数据与接口设计建议</w:t>
      </w:r>
    </w:p>
    <w:p>
      <w:pPr>
        <w:pStyle w:val="Heading2"/>
        <w:keepNext/>
        <w:widowControl/>
      </w:pPr>
      <w:r>
        <w:rPr>
          <w:rFonts w:ascii="Noto Sans CJK SC" w:hAnsi="Noto Sans CJK SC" w:eastAsia="Noto Sans CJK SC"/>
        </w:rPr>
        <w:t>7.1 核心数据表</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6"/>
              </w:rPr>
              <w:t>数据对象</w:t>
            </w:r>
          </w:p>
        </w:tc>
        <w:tc>
          <w:tcPr>
            <w:tcW w:type="dxa" w:w="6690"/>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6"/>
              </w:rPr>
              <w:t>关键字段</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wallet_account</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user_id、available_amount、total_credit、total_debit、version、updated_at。</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wallet_transaction</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transaction_id、user_id、type、amount、balance_after、source_id、order_id、operator_id、idempotency_key、created_at。</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marketing_expense</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expense_id、expense_type、amount、user_id、campaign_id、wallet_transaction_id、operator_id、status、created_at。</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gift_campaign</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campaign_id、name、type、enabled、gift_amount、start_at、end_at、valid_days、channels、copywriting、target_url。</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gift_grant_record</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campaign_id、user_id、mobile_hash、grant_status、wallet_transaction_id、failure_reason、granted_at。</w:t>
            </w:r>
          </w:p>
        </w:tc>
      </w:tr>
      <w:tr>
        <w:trPr>
          <w:cantSplit/>
        </w:trPr>
        <w:tc>
          <w:tcPr>
            <w:tcW w:type="dxa" w:w="226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admin_audit_log</w:t>
            </w:r>
          </w:p>
        </w:tc>
        <w:tc>
          <w:tcPr>
            <w:tcW w:type="dxa" w:w="669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operator_id、action、target_type、target_id、before_data、after_data、ip、created_at。</w:t>
            </w:r>
          </w:p>
        </w:tc>
      </w:tr>
    </w:tbl>
    <w:p>
      <w:pPr>
        <w:widowControl/>
        <w:spacing w:after="0"/>
      </w:pPr>
    </w:p>
    <w:p>
      <w:pPr>
        <w:pStyle w:val="Heading2"/>
        <w:keepNext/>
        <w:widowControl/>
      </w:pPr>
      <w:r>
        <w:rPr>
          <w:rFonts w:ascii="Noto Sans CJK SC" w:hAnsi="Noto Sans CJK SC" w:eastAsia="Noto Sans CJK SC"/>
        </w:rPr>
        <w:t>7.2 接口建议</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3061"/>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6"/>
              </w:rPr>
              <w:t>接口</w:t>
            </w:r>
          </w:p>
        </w:tc>
        <w:tc>
          <w:tcPr>
            <w:tcW w:type="dxa" w:w="3061"/>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6"/>
              </w:rPr>
              <w:t>用途</w:t>
            </w:r>
          </w:p>
        </w:tc>
        <w:tc>
          <w:tcPr>
            <w:tcW w:type="dxa" w:w="2835"/>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6"/>
              </w:rPr>
              <w:t>关键要求</w:t>
            </w:r>
          </w:p>
        </w:tc>
      </w:tr>
      <w:tr>
        <w:trPr>
          <w:cantSplit/>
        </w:trPr>
        <w:tc>
          <w:tcPr>
            <w:tcW w:type="dxa" w:w="30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GET /wallet</w:t>
            </w:r>
          </w:p>
        </w:tc>
        <w:tc>
          <w:tcPr>
            <w:tcW w:type="dxa" w:w="30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获取当前用户余额及汇总。</w:t>
            </w:r>
          </w:p>
        </w:tc>
        <w:tc>
          <w:tcPr>
            <w:tcW w:type="dxa" w:w="283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鉴权、实时余额。</w:t>
            </w:r>
          </w:p>
        </w:tc>
      </w:tr>
      <w:tr>
        <w:trPr>
          <w:cantSplit/>
        </w:trPr>
        <w:tc>
          <w:tcPr>
            <w:tcW w:type="dxa" w:w="30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GET /wallet/transactions</w:t>
            </w:r>
          </w:p>
        </w:tc>
        <w:tc>
          <w:tcPr>
            <w:tcW w:type="dxa" w:w="30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查询用户余额流水。</w:t>
            </w:r>
          </w:p>
        </w:tc>
        <w:tc>
          <w:tcPr>
            <w:tcW w:type="dxa" w:w="283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分页、类型筛选。</w:t>
            </w:r>
          </w:p>
        </w:tc>
      </w:tr>
      <w:tr>
        <w:trPr>
          <w:cantSplit/>
        </w:trPr>
        <w:tc>
          <w:tcPr>
            <w:tcW w:type="dxa" w:w="30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POST /orders/{id}/pay-by-wallet</w:t>
            </w:r>
          </w:p>
        </w:tc>
        <w:tc>
          <w:tcPr>
            <w:tcW w:type="dxa" w:w="30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使用余额支付订单。</w:t>
            </w:r>
          </w:p>
        </w:tc>
        <w:tc>
          <w:tcPr>
            <w:tcW w:type="dxa" w:w="283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事务、幂等、防重复扣款。</w:t>
            </w:r>
          </w:p>
        </w:tc>
      </w:tr>
      <w:tr>
        <w:trPr>
          <w:cantSplit/>
        </w:trPr>
        <w:tc>
          <w:tcPr>
            <w:tcW w:type="dxa" w:w="30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POST /admin/users/{id}/wallet/gift</w:t>
            </w:r>
          </w:p>
        </w:tc>
        <w:tc>
          <w:tcPr>
            <w:tcW w:type="dxa" w:w="30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后台人工赠送。</w:t>
            </w:r>
          </w:p>
        </w:tc>
        <w:tc>
          <w:tcPr>
            <w:tcW w:type="dxa" w:w="283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权限校验、审批、审计。</w:t>
            </w:r>
          </w:p>
        </w:tc>
      </w:tr>
      <w:tr>
        <w:trPr>
          <w:cantSplit/>
        </w:trPr>
        <w:tc>
          <w:tcPr>
            <w:tcW w:type="dxa" w:w="30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POST /admin/wallet/transactions/{id}/reverse</w:t>
            </w:r>
          </w:p>
        </w:tc>
        <w:tc>
          <w:tcPr>
            <w:tcW w:type="dxa" w:w="30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赠送冲正。</w:t>
            </w:r>
          </w:p>
        </w:tc>
        <w:tc>
          <w:tcPr>
            <w:tcW w:type="dxa" w:w="283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仅高权限、不可篡改原流水。</w:t>
            </w:r>
          </w:p>
        </w:tc>
      </w:tr>
      <w:tr>
        <w:trPr>
          <w:cantSplit/>
        </w:trPr>
        <w:tc>
          <w:tcPr>
            <w:tcW w:type="dxa" w:w="30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GET/PUT /admin/gift-campaigns/register</w:t>
            </w:r>
          </w:p>
        </w:tc>
        <w:tc>
          <w:tcPr>
            <w:tcW w:type="dxa" w:w="3061"/>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查询或修改注册赠送配置。</w:t>
            </w:r>
          </w:p>
        </w:tc>
        <w:tc>
          <w:tcPr>
            <w:tcW w:type="dxa" w:w="283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6"/>
              </w:rPr>
              <w:t>配置版本、操作日志。</w:t>
            </w:r>
          </w:p>
        </w:tc>
      </w:tr>
    </w:tbl>
    <w:p>
      <w:pPr>
        <w:widowControl/>
        <w:spacing w:after="0"/>
      </w:pPr>
    </w:p>
    <w:p>
      <w:pPr>
        <w:pStyle w:val="Heading1"/>
        <w:keepNext/>
        <w:widowControl/>
      </w:pPr>
      <w:r>
        <w:rPr>
          <w:rFonts w:ascii="Noto Sans CJK SC" w:hAnsi="Noto Sans CJK SC" w:eastAsia="Noto Sans CJK SC"/>
        </w:rPr>
        <w:t>8. 异常处理</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948"/>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异常场景</w:t>
            </w:r>
          </w:p>
        </w:tc>
        <w:tc>
          <w:tcPr>
            <w:tcW w:type="dxa" w:w="6009"/>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处理规则</w:t>
            </w:r>
          </w:p>
        </w:tc>
      </w:tr>
      <w:tr>
        <w:trPr>
          <w:cantSplit/>
        </w:trPr>
        <w:tc>
          <w:tcPr>
            <w:tcW w:type="dxa" w:w="294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注册完成但赠送失败</w:t>
            </w:r>
          </w:p>
        </w:tc>
        <w:tc>
          <w:tcPr>
            <w:tcW w:type="dxa" w:w="600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不影响注册；记录失败并自动补偿，成功后发送通知。</w:t>
            </w:r>
          </w:p>
        </w:tc>
      </w:tr>
      <w:tr>
        <w:trPr>
          <w:cantSplit/>
        </w:trPr>
        <w:tc>
          <w:tcPr>
            <w:tcW w:type="dxa" w:w="294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余额扣减成功但订单失败</w:t>
            </w:r>
          </w:p>
        </w:tc>
        <w:tc>
          <w:tcPr>
            <w:tcW w:type="dxa" w:w="600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数据库事务回滚；若跨服务则通过补偿任务恢复余额。</w:t>
            </w:r>
          </w:p>
        </w:tc>
      </w:tr>
      <w:tr>
        <w:trPr>
          <w:cantSplit/>
        </w:trPr>
        <w:tc>
          <w:tcPr>
            <w:tcW w:type="dxa" w:w="294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重复支付请求</w:t>
            </w:r>
          </w:p>
        </w:tc>
        <w:tc>
          <w:tcPr>
            <w:tcW w:type="dxa" w:w="600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按订单号和幂等键返回首次处理结果，不重复扣款。</w:t>
            </w:r>
          </w:p>
        </w:tc>
      </w:tr>
      <w:tr>
        <w:trPr>
          <w:cantSplit/>
        </w:trPr>
        <w:tc>
          <w:tcPr>
            <w:tcW w:type="dxa" w:w="294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管理员误发余额</w:t>
            </w:r>
          </w:p>
        </w:tc>
        <w:tc>
          <w:tcPr>
            <w:tcW w:type="dxa" w:w="600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走撤销/冲正流程，不允许修改原流水。</w:t>
            </w:r>
          </w:p>
        </w:tc>
      </w:tr>
      <w:tr>
        <w:trPr>
          <w:cantSplit/>
        </w:trPr>
        <w:tc>
          <w:tcPr>
            <w:tcW w:type="dxa" w:w="294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活动配置并发修改</w:t>
            </w:r>
          </w:p>
        </w:tc>
        <w:tc>
          <w:tcPr>
            <w:tcW w:type="dxa" w:w="600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使用配置版本号或乐观锁，冲突时提示刷新。</w:t>
            </w:r>
          </w:p>
        </w:tc>
      </w:tr>
      <w:tr>
        <w:trPr>
          <w:cantSplit/>
        </w:trPr>
        <w:tc>
          <w:tcPr>
            <w:tcW w:type="dxa" w:w="294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余额与流水对账不一致</w:t>
            </w:r>
          </w:p>
        </w:tc>
        <w:tc>
          <w:tcPr>
            <w:tcW w:type="dxa" w:w="600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账户进入异常状态，禁止高风险操作并通知技术/财务处理。</w:t>
            </w:r>
          </w:p>
        </w:tc>
      </w:tr>
      <w:tr>
        <w:trPr>
          <w:cantSplit/>
        </w:trPr>
        <w:tc>
          <w:tcPr>
            <w:tcW w:type="dxa" w:w="294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用户注销</w:t>
            </w:r>
          </w:p>
        </w:tc>
        <w:tc>
          <w:tcPr>
            <w:tcW w:type="dxa" w:w="600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保留财务与审计流水；账户停止使用，按隐私政策处理个人信息。</w:t>
            </w:r>
          </w:p>
        </w:tc>
      </w:tr>
    </w:tbl>
    <w:p>
      <w:pPr>
        <w:widowControl/>
        <w:spacing w:after="0"/>
      </w:pPr>
    </w:p>
    <w:p>
      <w:pPr>
        <w:pStyle w:val="Heading1"/>
        <w:keepNext/>
        <w:widowControl/>
      </w:pPr>
      <w:r>
        <w:rPr>
          <w:rFonts w:ascii="Noto Sans CJK SC" w:hAnsi="Noto Sans CJK SC" w:eastAsia="Noto Sans CJK SC"/>
        </w:rPr>
        <w:t>9. 权限、安全与审计</w:t>
      </w:r>
    </w:p>
    <w:p>
      <w:pPr>
        <w:pStyle w:val="ListBullet"/>
        <w:widowControl/>
      </w:pPr>
      <w:r>
        <w:rPr>
          <w:rFonts w:ascii="Noto Sans CJK SC" w:hAnsi="Noto Sans CJK SC" w:eastAsia="Noto Sans CJK SC"/>
        </w:rPr>
        <w:t>采用角色权限与额度权限双重控制，敏感操作必须进行二次确认。</w:t>
      </w:r>
    </w:p>
    <w:p>
      <w:pPr>
        <w:pStyle w:val="ListBullet"/>
        <w:widowControl/>
      </w:pPr>
      <w:r>
        <w:rPr>
          <w:rFonts w:ascii="Noto Sans CJK SC" w:hAnsi="Noto Sans CJK SC" w:eastAsia="Noto Sans CJK SC"/>
        </w:rPr>
        <w:t>后台展示手机号、邮箱等信息时默认脱敏。</w:t>
      </w:r>
    </w:p>
    <w:p>
      <w:pPr>
        <w:pStyle w:val="ListBullet"/>
        <w:widowControl/>
      </w:pPr>
      <w:r>
        <w:rPr>
          <w:rFonts w:ascii="Noto Sans CJK SC" w:hAnsi="Noto Sans CJK SC" w:eastAsia="Noto Sans CJK SC"/>
        </w:rPr>
        <w:t>所有赠送、撤销、审批、配置修改、数据导出均记录操作人、IP、时间及变更前后内容。</w:t>
      </w:r>
    </w:p>
    <w:p>
      <w:pPr>
        <w:pStyle w:val="ListBullet"/>
        <w:widowControl/>
      </w:pPr>
      <w:r>
        <w:rPr>
          <w:rFonts w:ascii="Noto Sans CJK SC" w:hAnsi="Noto Sans CJK SC" w:eastAsia="Noto Sans CJK SC"/>
        </w:rPr>
        <w:t>余额及费用流水只允许新增，不允许物理删除；更正通过反向流水实现。</w:t>
      </w:r>
    </w:p>
    <w:p>
      <w:pPr>
        <w:pStyle w:val="ListBullet"/>
        <w:widowControl/>
      </w:pPr>
      <w:r>
        <w:rPr>
          <w:rFonts w:ascii="Noto Sans CJK SC" w:hAnsi="Noto Sans CJK SC" w:eastAsia="Noto Sans CJK SC"/>
        </w:rPr>
        <w:t>金额接口需防重放、防越权和参数篡改；关键接口增加限流。</w:t>
      </w:r>
    </w:p>
    <w:p>
      <w:pPr>
        <w:pStyle w:val="ListBullet"/>
        <w:widowControl/>
      </w:pPr>
      <w:r>
        <w:rPr>
          <w:rFonts w:ascii="Noto Sans CJK SC" w:hAnsi="Noto Sans CJK SC" w:eastAsia="Noto Sans CJK SC"/>
        </w:rPr>
        <w:t>定期执行余额账户、流水、订单与营销费用四方对账。</w:t>
      </w:r>
    </w:p>
    <w:p>
      <w:pPr>
        <w:pStyle w:val="Heading1"/>
        <w:keepNext/>
        <w:widowControl/>
      </w:pPr>
      <w:r>
        <w:rPr>
          <w:rFonts w:ascii="Noto Sans CJK SC" w:hAnsi="Noto Sans CJK SC" w:eastAsia="Noto Sans CJK SC"/>
        </w:rPr>
        <w:t>10. 埋点与效果评估</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24"/>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事件</w:t>
            </w:r>
          </w:p>
        </w:tc>
        <w:tc>
          <w:tcPr>
            <w:tcW w:type="dxa" w:w="2948"/>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触发时机</w:t>
            </w:r>
          </w:p>
        </w:tc>
        <w:tc>
          <w:tcPr>
            <w:tcW w:type="dxa" w:w="3685"/>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关键属性</w:t>
            </w:r>
          </w:p>
        </w:tc>
      </w:tr>
      <w:tr>
        <w:trPr>
          <w:cantSplit/>
        </w:trPr>
        <w:tc>
          <w:tcPr>
            <w:tcW w:type="dxa" w:w="232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register_gift_exposure</w:t>
            </w:r>
          </w:p>
        </w:tc>
        <w:tc>
          <w:tcPr>
            <w:tcW w:type="dxa" w:w="294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注册赠送弹窗或页面曝光。</w:t>
            </w:r>
          </w:p>
        </w:tc>
        <w:tc>
          <w:tcPr>
            <w:tcW w:type="dxa" w:w="368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user_id、campaign_id、amount、channel。</w:t>
            </w:r>
          </w:p>
        </w:tc>
      </w:tr>
      <w:tr>
        <w:trPr>
          <w:cantSplit/>
        </w:trPr>
        <w:tc>
          <w:tcPr>
            <w:tcW w:type="dxa" w:w="232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register_gift_cta_click</w:t>
            </w:r>
          </w:p>
        </w:tc>
        <w:tc>
          <w:tcPr>
            <w:tcW w:type="dxa" w:w="294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用户点击“立即体验”。</w:t>
            </w:r>
          </w:p>
        </w:tc>
        <w:tc>
          <w:tcPr>
            <w:tcW w:type="dxa" w:w="368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target_function、campaign_id。</w:t>
            </w:r>
          </w:p>
        </w:tc>
      </w:tr>
      <w:tr>
        <w:trPr>
          <w:cantSplit/>
        </w:trPr>
        <w:tc>
          <w:tcPr>
            <w:tcW w:type="dxa" w:w="232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wallet_pay_selected</w:t>
            </w:r>
          </w:p>
        </w:tc>
        <w:tc>
          <w:tcPr>
            <w:tcW w:type="dxa" w:w="294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订单确认页选择余额支付。</w:t>
            </w:r>
          </w:p>
        </w:tc>
        <w:tc>
          <w:tcPr>
            <w:tcW w:type="dxa" w:w="368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order_amount、wallet_balance。</w:t>
            </w:r>
          </w:p>
        </w:tc>
      </w:tr>
      <w:tr>
        <w:trPr>
          <w:cantSplit/>
        </w:trPr>
        <w:tc>
          <w:tcPr>
            <w:tcW w:type="dxa" w:w="232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wallet_pay_success</w:t>
            </w:r>
          </w:p>
        </w:tc>
        <w:tc>
          <w:tcPr>
            <w:tcW w:type="dxa" w:w="294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余额支付成功。</w:t>
            </w:r>
          </w:p>
        </w:tc>
        <w:tc>
          <w:tcPr>
            <w:tcW w:type="dxa" w:w="368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order_id、deduct_amount、balance_after。</w:t>
            </w:r>
          </w:p>
        </w:tc>
      </w:tr>
      <w:tr>
        <w:trPr>
          <w:cantSplit/>
        </w:trPr>
        <w:tc>
          <w:tcPr>
            <w:tcW w:type="dxa" w:w="232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gift_balance_first_used</w:t>
            </w:r>
          </w:p>
        </w:tc>
        <w:tc>
          <w:tcPr>
            <w:tcW w:type="dxa" w:w="294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用户首次使用赠送余额。</w:t>
            </w:r>
          </w:p>
        </w:tc>
        <w:tc>
          <w:tcPr>
            <w:tcW w:type="dxa" w:w="368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grant_source、days_since_grant。</w:t>
            </w:r>
          </w:p>
        </w:tc>
      </w:tr>
      <w:tr>
        <w:trPr>
          <w:cantSplit/>
        </w:trPr>
        <w:tc>
          <w:tcPr>
            <w:tcW w:type="dxa" w:w="232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admin_gift_success</w:t>
            </w:r>
          </w:p>
        </w:tc>
        <w:tc>
          <w:tcPr>
            <w:tcW w:type="dxa" w:w="2948"/>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后台赠送成功。</w:t>
            </w:r>
          </w:p>
        </w:tc>
        <w:tc>
          <w:tcPr>
            <w:tcW w:type="dxa" w:w="368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operator_role、gift_type、amount。</w:t>
            </w:r>
          </w:p>
        </w:tc>
      </w:tr>
    </w:tbl>
    <w:p>
      <w:pPr>
        <w:widowControl/>
        <w:spacing w:after="0"/>
      </w:pPr>
    </w:p>
    <w:p>
      <w:pPr>
        <w:pStyle w:val="Heading1"/>
        <w:keepNext/>
        <w:widowControl/>
      </w:pPr>
      <w:r>
        <w:rPr>
          <w:rFonts w:ascii="Noto Sans CJK SC" w:hAnsi="Noto Sans CJK SC" w:eastAsia="Noto Sans CJK SC"/>
        </w:rPr>
        <w:t>11. 验收标准</w:t>
      </w:r>
    </w:p>
    <w:p>
      <w:pPr>
        <w:pStyle w:val="Heading2"/>
        <w:keepNext/>
        <w:widowControl/>
      </w:pPr>
      <w:r>
        <w:rPr>
          <w:rFonts w:ascii="Noto Sans CJK SC" w:hAnsi="Noto Sans CJK SC" w:eastAsia="Noto Sans CJK SC"/>
        </w:rPr>
        <w:t>11.1 核心功能验收</w:t>
      </w:r>
    </w:p>
    <w:p>
      <w:pPr>
        <w:pStyle w:val="ListNumber"/>
        <w:widowControl/>
      </w:pPr>
      <w:r>
        <w:rPr>
          <w:rFonts w:ascii="Noto Sans CJK SC" w:hAnsi="Noto Sans CJK SC" w:eastAsia="Noto Sans CJK SC"/>
        </w:rPr>
        <w:t>新用户注册时，若活动开启且符合条件，账户自动增加配置金额；默认配置为20元。</w:t>
      </w:r>
    </w:p>
    <w:p>
      <w:pPr>
        <w:pStyle w:val="ListNumber"/>
        <w:widowControl/>
      </w:pPr>
      <w:r>
        <w:rPr>
          <w:rFonts w:ascii="Noto Sans CJK SC" w:hAnsi="Noto Sans CJK SC" w:eastAsia="Noto Sans CJK SC"/>
        </w:rPr>
        <w:t>同一用户在同一注册活动下不能重复获得赠送。</w:t>
      </w:r>
    </w:p>
    <w:p>
      <w:pPr>
        <w:pStyle w:val="ListNumber"/>
        <w:widowControl/>
      </w:pPr>
      <w:r>
        <w:rPr>
          <w:rFonts w:ascii="Noto Sans CJK SC" w:hAnsi="Noto Sans CJK SC" w:eastAsia="Noto Sans CJK SC"/>
        </w:rPr>
        <w:t>注册赠送成功后，用户至少在注册成功页/首次登录弹窗和余额明细中看到到账信息。</w:t>
      </w:r>
    </w:p>
    <w:p>
      <w:pPr>
        <w:pStyle w:val="ListNumber"/>
        <w:widowControl/>
      </w:pPr>
      <w:r>
        <w:rPr>
          <w:rFonts w:ascii="Noto Sans CJK SC" w:hAnsi="Noto Sans CJK SC" w:eastAsia="Noto Sans CJK SC"/>
        </w:rPr>
        <w:t>授权管理员可为指定用户人工赠送余额，赠送前必须填写金额和原因。</w:t>
      </w:r>
    </w:p>
    <w:p>
      <w:pPr>
        <w:pStyle w:val="ListNumber"/>
        <w:widowControl/>
      </w:pPr>
      <w:r>
        <w:rPr>
          <w:rFonts w:ascii="Noto Sans CJK SC" w:hAnsi="Noto Sans CJK SC" w:eastAsia="Noto Sans CJK SC"/>
        </w:rPr>
        <w:t>人工赠送和注册赠送均同步生成余额流水与营销费用记录，金额完全一致。</w:t>
      </w:r>
    </w:p>
    <w:p>
      <w:pPr>
        <w:pStyle w:val="ListNumber"/>
        <w:widowControl/>
      </w:pPr>
      <w:r>
        <w:rPr>
          <w:rFonts w:ascii="Noto Sans CJK SC" w:hAnsi="Noto Sans CJK SC" w:eastAsia="Noto Sans CJK SC"/>
        </w:rPr>
        <w:t>用户余额足够时可完成余额支付，支付后余额、订单与流水一致。</w:t>
      </w:r>
    </w:p>
    <w:p>
      <w:pPr>
        <w:pStyle w:val="ListNumber"/>
        <w:widowControl/>
      </w:pPr>
      <w:r>
        <w:rPr>
          <w:rFonts w:ascii="Noto Sans CJK SC" w:hAnsi="Noto Sans CJK SC" w:eastAsia="Noto Sans CJK SC"/>
        </w:rPr>
        <w:t>重复支付请求不会重复扣减余额。</w:t>
      </w:r>
    </w:p>
    <w:p>
      <w:pPr>
        <w:pStyle w:val="ListNumber"/>
        <w:widowControl/>
      </w:pPr>
      <w:r>
        <w:rPr>
          <w:rFonts w:ascii="Noto Sans CJK SC" w:hAnsi="Noto Sans CJK SC" w:eastAsia="Noto Sans CJK SC"/>
        </w:rPr>
        <w:t>任何原始流水均不可编辑或删除，撤销通过反向流水完成。</w:t>
      </w:r>
    </w:p>
    <w:p>
      <w:pPr>
        <w:pStyle w:val="ListNumber"/>
        <w:widowControl/>
      </w:pPr>
      <w:r>
        <w:rPr>
          <w:rFonts w:ascii="Noto Sans CJK SC" w:hAnsi="Noto Sans CJK SC" w:eastAsia="Noto Sans CJK SC"/>
        </w:rPr>
        <w:t>财务人员可按时间、来源、活动和用户查询并导出营销费用台账。</w:t>
      </w:r>
    </w:p>
    <w:p>
      <w:pPr>
        <w:pStyle w:val="ListNumber"/>
        <w:widowControl/>
      </w:pPr>
      <w:r>
        <w:rPr>
          <w:rFonts w:ascii="Noto Sans CJK SC" w:hAnsi="Noto Sans CJK SC" w:eastAsia="Noto Sans CJK SC"/>
        </w:rPr>
        <w:t>所有敏感后台操作均可追溯到操作人、时间、IP及变更内容。</w:t>
      </w:r>
    </w:p>
    <w:p>
      <w:pPr>
        <w:pStyle w:val="Heading2"/>
        <w:keepNext/>
        <w:widowControl/>
      </w:pPr>
      <w:r>
        <w:rPr>
          <w:rFonts w:ascii="Noto Sans CJK SC" w:hAnsi="Noto Sans CJK SC" w:eastAsia="Noto Sans CJK SC"/>
        </w:rPr>
        <w:t>11.2 性能与一致性</w:t>
      </w:r>
    </w:p>
    <w:p>
      <w:pPr>
        <w:pStyle w:val="ListBullet"/>
        <w:widowControl/>
      </w:pPr>
      <w:r>
        <w:rPr>
          <w:rFonts w:ascii="Noto Sans CJK SC" w:hAnsi="Noto Sans CJK SC" w:eastAsia="Noto Sans CJK SC"/>
        </w:rPr>
        <w:t>余额查询接口在正常负载下 P95 响应时间不高于500毫秒。</w:t>
      </w:r>
    </w:p>
    <w:p>
      <w:pPr>
        <w:pStyle w:val="ListBullet"/>
        <w:widowControl/>
      </w:pPr>
      <w:r>
        <w:rPr>
          <w:rFonts w:ascii="Noto Sans CJK SC" w:hAnsi="Noto Sans CJK SC" w:eastAsia="Noto Sans CJK SC"/>
        </w:rPr>
        <w:t>涉及金额的写操作必须保证强一致或具备可验证的最终一致补偿机制。</w:t>
      </w:r>
    </w:p>
    <w:p>
      <w:pPr>
        <w:pStyle w:val="ListBullet"/>
        <w:widowControl/>
      </w:pPr>
      <w:r>
        <w:rPr>
          <w:rFonts w:ascii="Noto Sans CJK SC" w:hAnsi="Noto Sans CJK SC" w:eastAsia="Noto Sans CJK SC"/>
        </w:rPr>
        <w:t>每日自动对账，发现不一致时在后台生成异常记录并通知责任人。</w:t>
      </w:r>
    </w:p>
    <w:p>
      <w:pPr>
        <w:pStyle w:val="Heading1"/>
        <w:keepNext/>
        <w:widowControl/>
      </w:pPr>
      <w:r>
        <w:rPr>
          <w:rFonts w:ascii="Noto Sans CJK SC" w:hAnsi="Noto Sans CJK SC" w:eastAsia="Noto Sans CJK SC"/>
        </w:rPr>
        <w:t>12. 上线计划与灰度建议</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14"/>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阶段</w:t>
            </w:r>
          </w:p>
        </w:tc>
        <w:tc>
          <w:tcPr>
            <w:tcW w:type="dxa" w:w="4819"/>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内容</w:t>
            </w:r>
          </w:p>
        </w:tc>
        <w:tc>
          <w:tcPr>
            <w:tcW w:type="dxa" w:w="2324"/>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8"/>
              </w:rPr>
              <w:t>退出条件</w:t>
            </w:r>
          </w:p>
        </w:tc>
      </w:tr>
      <w:tr>
        <w:trPr>
          <w:cantSplit/>
        </w:trP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阶段1：内部测试</w:t>
            </w:r>
          </w:p>
        </w:tc>
        <w:tc>
          <w:tcPr>
            <w:tcW w:type="dxa" w:w="481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仅开放给内部员工和少量测试账户；验证人工赠送、流水和营销费用。</w:t>
            </w:r>
          </w:p>
        </w:tc>
        <w:tc>
          <w:tcPr>
            <w:tcW w:type="dxa" w:w="232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连续3天无金额一致性问题。</w:t>
            </w:r>
          </w:p>
        </w:tc>
      </w:tr>
      <w:tr>
        <w:trPr>
          <w:cantSplit/>
        </w:trP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阶段2：注册赠送灰度</w:t>
            </w:r>
          </w:p>
        </w:tc>
        <w:tc>
          <w:tcPr>
            <w:tcW w:type="dxa" w:w="481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对10%-20%新用户开启，观察发放成功率、使用率和异常率。</w:t>
            </w:r>
          </w:p>
        </w:tc>
        <w:tc>
          <w:tcPr>
            <w:tcW w:type="dxa" w:w="232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发放成功率≥99.9%，无重复赠送。</w:t>
            </w:r>
          </w:p>
        </w:tc>
      </w:tr>
      <w:tr>
        <w:trPr>
          <w:cantSplit/>
        </w:trPr>
        <w:tc>
          <w:tcPr>
            <w:tcW w:type="dxa" w:w="181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阶段3：全量上线</w:t>
            </w:r>
          </w:p>
        </w:tc>
        <w:tc>
          <w:tcPr>
            <w:tcW w:type="dxa" w:w="4819"/>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全量启用注册赠送及用户余额支付。</w:t>
            </w:r>
          </w:p>
        </w:tc>
        <w:tc>
          <w:tcPr>
            <w:tcW w:type="dxa" w:w="2324"/>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8"/>
              </w:rPr>
              <w:t>核心指标与财务对账稳定。</w:t>
            </w:r>
          </w:p>
        </w:tc>
      </w:tr>
    </w:tbl>
    <w:p>
      <w:pPr>
        <w:widowControl/>
        <w:spacing w:after="0"/>
      </w:pPr>
    </w:p>
    <w:p>
      <w:pPr>
        <w:pStyle w:val="Heading1"/>
        <w:keepNext/>
        <w:widowControl/>
      </w:pPr>
      <w:r>
        <w:rPr>
          <w:rFonts w:ascii="Noto Sans CJK SC" w:hAnsi="Noto Sans CJK SC" w:eastAsia="Noto Sans CJK SC"/>
        </w:rPr>
        <w:t>13. 待产品/业务确认项</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850"/>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序号</w:t>
            </w:r>
          </w:p>
        </w:tc>
        <w:tc>
          <w:tcPr>
            <w:tcW w:type="dxa" w:w="4592"/>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待确认事项</w:t>
            </w:r>
          </w:p>
        </w:tc>
        <w:tc>
          <w:tcPr>
            <w:tcW w:type="dxa" w:w="3515"/>
            <w:shd w:fill="E8EEFF"/>
            <w:tcMar>
              <w:top w:w="90" w:type="dxa"/>
              <w:start w:w="100" w:type="dxa"/>
              <w:bottom w:w="90" w:type="dxa"/>
              <w:end w:w="100" w:type="dxa"/>
            </w:tcMar>
            <w:vAlign w:val="center"/>
          </w:tcPr>
          <w:p>
            <w:pPr>
              <w:spacing w:after="0"/>
              <w:jc w:val="center"/>
            </w:pPr>
            <w:r>
              <w:rPr>
                <w:rFonts w:ascii="Noto Sans CJK SC" w:hAnsi="Noto Sans CJK SC" w:eastAsia="Noto Sans CJK SC"/>
                <w:b/>
                <w:color w:val="243D82"/>
                <w:sz w:val="17"/>
              </w:rPr>
              <w:t>本 PRD 默认方案</w:t>
            </w:r>
          </w:p>
        </w:tc>
      </w:tr>
      <w:tr>
        <w:trPr>
          <w:cantSplit/>
        </w:trPr>
        <w:tc>
          <w:tcPr>
            <w:tcW w:type="dxa" w:w="85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1</w:t>
            </w:r>
          </w:p>
        </w:tc>
        <w:tc>
          <w:tcPr>
            <w:tcW w:type="dxa" w:w="4592"/>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余额不足时是否支持与微信/支付宝混合支付。</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本期不支持，后续预留。</w:t>
            </w:r>
          </w:p>
        </w:tc>
      </w:tr>
      <w:tr>
        <w:trPr>
          <w:cantSplit/>
        </w:trPr>
        <w:tc>
          <w:tcPr>
            <w:tcW w:type="dxa" w:w="85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2</w:t>
            </w:r>
          </w:p>
        </w:tc>
        <w:tc>
          <w:tcPr>
            <w:tcW w:type="dxa" w:w="4592"/>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赠送余额是否设置有效期。</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本期永久有效，数据层预留到期时间。</w:t>
            </w:r>
          </w:p>
        </w:tc>
      </w:tr>
      <w:tr>
        <w:trPr>
          <w:cantSplit/>
        </w:trPr>
        <w:tc>
          <w:tcPr>
            <w:tcW w:type="dxa" w:w="85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3</w:t>
            </w:r>
          </w:p>
        </w:tc>
        <w:tc>
          <w:tcPr>
            <w:tcW w:type="dxa" w:w="4592"/>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管理员单笔及单日赠送额度。</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默认单笔500元、单日2,000元，可配置。</w:t>
            </w:r>
          </w:p>
        </w:tc>
      </w:tr>
      <w:tr>
        <w:trPr>
          <w:cantSplit/>
        </w:trPr>
        <w:tc>
          <w:tcPr>
            <w:tcW w:type="dxa" w:w="85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4</w:t>
            </w:r>
          </w:p>
        </w:tc>
        <w:tc>
          <w:tcPr>
            <w:tcW w:type="dxa" w:w="4592"/>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客诉补偿是否计入营销费用。</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默认计入，报表中单独分类。</w:t>
            </w:r>
          </w:p>
        </w:tc>
      </w:tr>
      <w:tr>
        <w:trPr>
          <w:cantSplit/>
        </w:trPr>
        <w:tc>
          <w:tcPr>
            <w:tcW w:type="dxa" w:w="85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5</w:t>
            </w:r>
          </w:p>
        </w:tc>
        <w:tc>
          <w:tcPr>
            <w:tcW w:type="dxa" w:w="4592"/>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赠送发生与营销费用确认时点。</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按赠送发生时确认。</w:t>
            </w:r>
          </w:p>
        </w:tc>
      </w:tr>
      <w:tr>
        <w:trPr>
          <w:cantSplit/>
        </w:trPr>
        <w:tc>
          <w:tcPr>
            <w:tcW w:type="dxa" w:w="850"/>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6</w:t>
            </w:r>
          </w:p>
        </w:tc>
        <w:tc>
          <w:tcPr>
            <w:tcW w:type="dxa" w:w="4592"/>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项目品牌名称最终口径。</w:t>
            </w:r>
          </w:p>
        </w:tc>
        <w:tc>
          <w:tcPr>
            <w:tcW w:type="dxa" w:w="3515"/>
            <w:tcMar>
              <w:top w:w="90" w:type="dxa"/>
              <w:start w:w="100" w:type="dxa"/>
              <w:bottom w:w="90" w:type="dxa"/>
              <w:end w:w="100" w:type="dxa"/>
            </w:tcMar>
            <w:vAlign w:val="center"/>
          </w:tcPr>
          <w:p>
            <w:pPr>
              <w:spacing w:after="0" w:line="252" w:lineRule="auto"/>
            </w:pPr>
            <w:r>
              <w:rPr>
                <w:rFonts w:ascii="Noto Sans CJK SC" w:hAnsi="Noto Sans CJK SC" w:eastAsia="Noto Sans CJK SC"/>
                <w:color w:val="2D3341"/>
                <w:sz w:val="17"/>
              </w:rPr>
              <w:t>本文采用“职越（AI Career）”。</w:t>
            </w:r>
          </w:p>
        </w:tc>
      </w:tr>
    </w:tbl>
    <w:p>
      <w:pPr>
        <w:widowControl/>
        <w:spacing w:after="0"/>
      </w:pPr>
    </w:p>
    <w:tbl>
      <w:tblPr>
        <w:tblW w:type="auto" w:w="0"/>
        <w:jc w:val="center"/>
        <w:tblLayout w:type="autofit"/>
        <w:tblLook w:firstColumn="1" w:firstRow="1" w:lastColumn="0" w:lastRow="0" w:noHBand="0" w:noVBand="1" w:val="04A0"/>
      </w:tblPr>
      <w:tblGrid>
        <w:gridCol w:w="9858"/>
      </w:tblGrid>
      <w:tr>
        <w:tc>
          <w:tcPr>
            <w:tcW w:type="dxa" w:w="9858"/>
            <w:shd w:fill="F3F7FF"/>
            <w:tcMar>
              <w:top w:w="110" w:type="dxa"/>
              <w:start w:w="160" w:type="dxa"/>
              <w:bottom w:w="110" w:type="dxa"/>
              <w:end w:w="160" w:type="dxa"/>
            </w:tcMar>
            <w:tcBorders>
              <w:top w:val="single" w:sz="8" w:color="6B8AFD"/>
              <w:left w:val="single" w:sz="8" w:color="6B8AFD"/>
              <w:bottom w:val="single" w:sz="8" w:color="6B8AFD"/>
              <w:right w:val="single" w:sz="8" w:color="6B8AFD"/>
            </w:tcBorders>
          </w:tcPr>
          <w:p>
            <w:pPr>
              <w:spacing w:after="60"/>
            </w:pPr>
            <w:r>
              <w:rPr>
                <w:rFonts w:ascii="Noto Sans CJK SC" w:hAnsi="Noto Sans CJK SC" w:eastAsia="Noto Sans CJK SC"/>
                <w:b/>
                <w:color w:val="2344AA"/>
                <w:sz w:val="21"/>
              </w:rPr>
              <w:t>推荐上线默认配置</w:t>
            </w:r>
          </w:p>
          <w:p>
            <w:pPr>
              <w:spacing w:after="0"/>
            </w:pPr>
            <w:r>
              <w:rPr>
                <w:rFonts w:ascii="Noto Sans CJK SC" w:hAnsi="Noto Sans CJK SC" w:eastAsia="Noto Sans CJK SC"/>
                <w:color w:val="30394C"/>
                <w:sz w:val="19"/>
              </w:rPr>
              <w:t>注册赠送开关：开启；赠送金额：20元；有效期：永久；通知：开启；主按钮跳转至核心简历优化功能；活动名称：“新用户注册体验金”。</w:t>
            </w:r>
          </w:p>
        </w:tc>
      </w:tr>
    </w:tbl>
    <w:p>
      <w:pPr>
        <w:widowControl/>
        <w:spacing w:after="0"/>
      </w:pPr>
    </w:p>
    <w:p>
      <w:pPr>
        <w:widowControl/>
        <w:spacing w:before="360"/>
        <w:jc w:val="center"/>
      </w:pPr>
      <w:r>
        <w:rPr>
          <w:rFonts w:ascii="Noto Sans CJK SC" w:hAnsi="Noto Sans CJK SC" w:eastAsia="Noto Sans CJK SC"/>
          <w:color w:val="9197A4"/>
          <w:sz w:val="18"/>
        </w:rPr>
        <w:t>— 文档结束 —</w:t>
      </w:r>
    </w:p>
    <w:sectPr w:rsidR="00FC693F" w:rsidRPr="0006063C" w:rsidSect="00034616">
      <w:headerReference w:type="default" r:id="rId9"/>
      <w:footerReference w:type="default" r:id="rId10"/>
      <w:pgSz w:w="12240" w:h="15840"/>
      <w:pgMar w:top="1020" w:right="1191"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8090"/>
        <w:sz w:val="16"/>
      </w:rPr>
      <w:t xml:space="preserve">内部使用  |  V1.0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8DEEB"/>
      </w:pBdr>
    </w:pPr>
    <w:r>
      <w:rPr>
        <w:rFonts w:ascii="Noto Sans CJK SC" w:hAnsi="Noto Sans CJK SC" w:eastAsia="Noto Sans CJK SC"/>
        <w:color w:val="70798B"/>
        <w:sz w:val="17"/>
      </w:rPr>
      <w:t>职越 AI Career · 产品需求文档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Noto Sans CJK SC" w:hAnsi="Noto Sans CJK SC" w:eastAsia="Noto Sans CJK SC"/>
      <w:color w:val="262D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Noto Sans CJK SC" w:hAnsi="Noto Sans CJK SC" w:eastAsia="Noto Sans CJK SC"/>
      <w:b/>
      <w:bCs/>
      <w:color w:val="203F9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CJK SC" w:hAnsi="Noto Sans CJK SC" w:eastAsia="Noto Sans CJK SC"/>
      <w:b/>
      <w:bCs/>
      <w:color w:val="29418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CJK SC" w:hAnsi="Noto Sans CJK SC" w:eastAsia="Noto Sans CJK SC"/>
      <w:b/>
      <w:bCs/>
      <w:color w:val="323A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24" w:lineRule="auto"/>
    </w:pPr>
    <w:rPr>
      <w:rFonts w:ascii="Noto Sans CJK SC" w:hAnsi="Noto Sans CJK SC" w:eastAsia="Noto Sans CJK SC"/>
      <w:color w:val="262D38"/>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rPr>
      <w:rFonts w:ascii="Noto Sans CJK SC" w:hAnsi="Noto Sans CJK SC" w:eastAsia="Noto Sans CJK SC"/>
      <w:color w:val="262D38"/>
      <w:sz w:val="20"/>
    </w:rPr>
  </w:style>
  <w:style w:type="paragraph" w:styleId="ListBullet2">
    <w:name w:val="List Bullet 2"/>
    <w:basedOn w:val="Normal"/>
    <w:uiPriority w:val="99"/>
    <w:unhideWhenUsed/>
    <w:rsid w:val="00326F90"/>
    <w:pPr>
      <w:numPr>
        <w:numId w:val="2"/>
      </w:numPr>
      <w:spacing w:after="60" w:line="300" w:lineRule="auto"/>
      <w:contextualSpacing/>
    </w:pPr>
    <w:rPr>
      <w:rFonts w:ascii="Noto Sans CJK SC" w:hAnsi="Noto Sans CJK SC" w:eastAsia="Noto Sans CJK SC"/>
      <w:color w:val="262D38"/>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00" w:lineRule="auto"/>
      <w:contextualSpacing/>
    </w:pPr>
    <w:rPr>
      <w:rFonts w:ascii="Noto Sans CJK SC" w:hAnsi="Noto Sans CJK SC" w:eastAsia="Noto Sans CJK SC"/>
      <w:color w:val="262D38"/>
      <w:sz w:val="20"/>
    </w:rPr>
  </w:style>
  <w:style w:type="paragraph" w:styleId="ListNumber2">
    <w:name w:val="List Number 2"/>
    <w:basedOn w:val="Normal"/>
    <w:uiPriority w:val="99"/>
    <w:unhideWhenUsed/>
    <w:rsid w:val="0029639D"/>
    <w:pPr>
      <w:numPr>
        <w:numId w:val="6"/>
      </w:numPr>
      <w:spacing w:after="60" w:line="300" w:lineRule="auto"/>
      <w:contextualSpacing/>
    </w:pPr>
    <w:rPr>
      <w:rFonts w:ascii="Noto Sans CJK SC" w:hAnsi="Noto Sans CJK SC" w:eastAsia="Noto Sans CJK SC"/>
      <w:color w:val="262D38"/>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职越（AI Career）用户余额与营销赠送功能PRD</dc:title>
  <dc:subject>用户余额、后台赠送、注册赠送、营销费用</dc:subject>
  <dc:creator>产品团队</dc:creator>
  <cp:keywords>职越, AI Career, PRD, 用户余额, 营销赠送</cp:keywords>
  <dc:description>V1.0</dc:description>
  <cp:lastModifiedBy/>
  <cp:revision>1</cp:revision>
  <dcterms:created xsi:type="dcterms:W3CDTF">2013-12-23T23:15:00Z</dcterms:created>
  <dcterms:modified xsi:type="dcterms:W3CDTF">2013-12-23T23:15:00Z</dcterms:modified>
  <cp:category/>
</cp:coreProperties>
</file>