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30-60-90 PLAN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Success Engineer</w:t>
      </w:r>
    </w:p>
    <w:p>
      <w:pPr/>
      <w:r>
        <w:rPr/>
        <w:t xml:space="preserve">Team: AI Success</w:t>
      </w:r>
    </w:p>
    <w:p>
      <w:pPr/>
      <w:r>
        <w:rPr/>
        <w:t xml:space="preserve">Location: Remote - US</w:t>
      </w:r>
    </w:p>
    <w:p>
      <w:pPr/>
      <w:r>
        <w:rPr/>
        <w:t xml:space="preserve">Compensation: $234K-$260K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Post-sales technical relationship ownership, account health, adoption velocity, workflow mapping, technical readiness, OpenAI product fluency, KPI baselines, value-realization reporting, and reusable customer enablement assets.</w:t>
      </w:r>
    </w:p>
    <w:p/>
    <w:p>
      <w:pPr/>
      <w:r>
        <w:rPr/>
        <w:t xml:space="preserve">The first 90 days should prove fast OpenAI product fluency, credible post-sales customer ownership, and one reusable adoption asset that improves account health beyond a single engagement.</w:t>
      </w:r>
    </w:p>
    <w:p/>
    <w:p>
      <w:pPr>
        <w:pStyle w:val="Heading1"/>
      </w:pPr>
      <w:r>
        <w:rPr/>
        <w:t xml:space="preserve">Role Signals I Am Planning Around</w:t>
      </w:r>
    </w:p>
    <w:p>
      <w:pPr>
        <w:numPr>
          <w:ilvl w:val="0"/>
          <w:numId w:val="1"/>
        </w:numPr>
      </w:pPr>
      <w:r>
        <w:rPr/>
        <w:t xml:space="preserve">OpenAI describes this role as the primary post-sales point of contact for important customers.</w:t>
      </w:r>
    </w:p>
    <w:p>
      <w:pPr>
        <w:numPr>
          <w:ilvl w:val="0"/>
          <w:numId w:val="1"/>
        </w:numPr>
      </w:pPr>
      <w:r>
        <w:rPr/>
        <w:t xml:space="preserve">The posting emphasizes technical relationship ownership, account health, adoption velocity, workflow mapping, configuration, OpenAI product fluency, KPI definition, value realization, and customer enablement.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OpenAI's AI Success playbooks, account-health signals, product surfaces, and escalation paths with Solutions, Product, and Research.</w:t>
      </w:r>
    </w:p>
    <w:p>
      <w:pPr>
        <w:numPr>
          <w:ilvl w:val="0"/>
          <w:numId w:val="1"/>
        </w:numPr>
      </w:pPr>
      <w:r>
        <w:rPr/>
        <w:t xml:space="preserve">Shadow customer calls to understand recurring blockers in configuration, use-case selection, security review, and executive alignment.</w:t>
      </w:r>
    </w:p>
    <w:p>
      <w:pPr>
        <w:numPr>
          <w:ilvl w:val="0"/>
          <w:numId w:val="1"/>
        </w:numPr>
      </w:pPr>
      <w:r>
        <w:rPr/>
        <w:t xml:space="preserve">Build a use-case intake template that captures workflow, stakeholders, success metrics, data/security concerns, and first production milestone.</w:t>
      </w:r>
    </w:p>
    <w:p>
      <w:pPr>
        <w:numPr>
          <w:ilvl w:val="0"/>
          <w:numId w:val="1"/>
        </w:numPr>
      </w:pPr>
      <w:r>
        <w:rPr/>
        <w:t xml:space="preserve">Define a personal account-readiness checklist for adoption velocity, champion coverage, and measurable value.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Own a small portfolio or workstream and convert customer goals into adoption roadmaps with sequence, milestones, owners, and KPIs.</w:t>
      </w:r>
    </w:p>
    <w:p>
      <w:pPr>
        <w:numPr>
          <w:ilvl w:val="0"/>
          <w:numId w:val="1"/>
        </w:numPr>
      </w:pPr>
      <w:r>
        <w:rPr/>
        <w:t xml:space="preserve">Facilitate workshops that help customer teams identify high-impact use cases and champion-building motions.</w:t>
      </w:r>
    </w:p>
    <w:p>
      <w:pPr>
        <w:numPr>
          <w:ilvl w:val="0"/>
          <w:numId w:val="1"/>
        </w:numPr>
      </w:pPr>
      <w:r>
        <w:rPr/>
        <w:t xml:space="preserve">Create value-realization reports that connect baseline, deployment activity, adoption depth, and business outcomes.</w:t>
      </w:r>
    </w:p>
    <w:p>
      <w:pPr>
        <w:numPr>
          <w:ilvl w:val="0"/>
          <w:numId w:val="1"/>
        </w:numPr>
      </w:pPr>
      <w:r>
        <w:rPr/>
        <w:t xml:space="preserve">Surface technical blockers and field patterns to Product and Solutions Architecture with concise evidence.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Drive multiple accounts toward production adoption with clear account-health reporting and expansion opportunities.</w:t>
      </w:r>
    </w:p>
    <w:p>
      <w:pPr>
        <w:numPr>
          <w:ilvl w:val="0"/>
          <w:numId w:val="1"/>
        </w:numPr>
      </w:pPr>
      <w:r>
        <w:rPr/>
        <w:t xml:space="preserve">Standardize repeatable enablement assets for common customer workflows and product configurations.</w:t>
      </w:r>
    </w:p>
    <w:p>
      <w:pPr>
        <w:numPr>
          <w:ilvl w:val="0"/>
          <w:numId w:val="1"/>
        </w:numPr>
      </w:pPr>
      <w:r>
        <w:rPr/>
        <w:t xml:space="preserve">Deliver a portfolio impact readout covering activation, adoption depth, stakeholder alignment, and measurable value.</w:t>
      </w:r>
    </w:p>
    <w:p>
      <w:pPr>
        <w:numPr>
          <w:ilvl w:val="0"/>
          <w:numId w:val="1"/>
        </w:numPr>
      </w:pPr>
      <w:r>
        <w:rPr/>
        <w:t xml:space="preserve">Create a feedback loop that turns repeated customer blockers into product proposals, documentation improvements, or services motions.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use-case intake, readiness checklist, account-health view, workshop plan, value-realization report, or customer enablement playbook.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Human-Owned Build Pattern</w:t>
      </w:r>
    </w:p>
    <w:p>
      <w:pPr>
        <w:numPr>
          <w:ilvl w:val="0"/>
          <w:numId w:val="1"/>
        </w:numPr>
      </w:pPr>
      <w:r>
        <w:rPr/>
        <w:t xml:space="preserve">For each customer-facing artifact, document the problem, process, output, validation, limitations, and role relevance.</w:t>
      </w:r>
    </w:p>
    <w:p>
      <w:pPr>
        <w:numPr>
          <w:ilvl w:val="0"/>
          <w:numId w:val="1"/>
        </w:numPr>
      </w:pPr>
      <w:r>
        <w:rPr/>
        <w:t xml:space="preserve">Use Codex-style workflows to prototype, inspect, refactor, test, and document product or enablement changes.</w:t>
      </w:r>
    </w:p>
    <w:p>
      <w:pPr>
        <w:numPr>
          <w:ilvl w:val="0"/>
          <w:numId w:val="1"/>
        </w:numPr>
      </w:pPr>
      <w:r>
        <w:rPr/>
        <w:t xml:space="preserve">Make the human-owned build process explicit: what AI accelerated, what Jonathan owned, what evidence was checked, and what limitation remains.</w:t>
      </w:r>
    </w:p>
    <w:p>
      <w:pPr>
        <w:numPr>
          <w:ilvl w:val="0"/>
          <w:numId w:val="1"/>
        </w:numPr>
      </w:pPr>
      <w:r>
        <w:rPr/>
        <w:t xml:space="preserve">Treat the artifact plus reasoning, constraints, testing, and customer story as the actual signal.</w:t>
      </w:r>
    </w:p>
    <w:p/>
    <w:p/>
    <w:p>
      <w:pPr>
        <w:pStyle w:val="Heading1"/>
      </w:pPr>
      <w:r>
        <w:rPr/>
        <w:t xml:space="preserve">Source Posting Reviewed</w:t>
      </w:r>
    </w:p>
    <w:p>
      <w:pPr/>
      <w:r>
        <w:rPr/>
        <w:t xml:space="preserve">Reviewed June 12, 2026: https://openai.com/careers/ai-success-engineer-us-remote-remote-us/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Success Engineer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