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571CA" w14:textId="77777777" w:rsidR="00A25A4E" w:rsidRDefault="00000000">
      <w:pPr>
        <w:spacing w:after="40"/>
      </w:pPr>
      <w:r>
        <w:rPr>
          <w:b/>
          <w:bCs/>
          <w:sz w:val="30"/>
          <w:szCs w:val="30"/>
        </w:rPr>
        <w:t>Entegris, Inc. (NASDAQ: ENTG)</w:t>
      </w:r>
    </w:p>
    <w:p w14:paraId="467B3F7A" w14:textId="77777777" w:rsidR="00A25A4E" w:rsidRDefault="00000000">
      <w:pPr>
        <w:spacing w:after="40"/>
      </w:pPr>
      <w:r>
        <w:rPr>
          <w:sz w:val="24"/>
          <w:szCs w:val="24"/>
        </w:rPr>
        <w:t>Discounted Cash Flow Valuation</w:t>
      </w:r>
    </w:p>
    <w:p w14:paraId="013F1725" w14:textId="77777777" w:rsidR="00A25A4E" w:rsidRDefault="00000000">
      <w:pPr>
        <w:spacing w:after="60"/>
      </w:pPr>
      <w:r>
        <w:rPr>
          <w:color w:val="595959"/>
          <w:sz w:val="20"/>
          <w:szCs w:val="20"/>
        </w:rPr>
        <w:t xml:space="preserve">Agnivesh </w:t>
      </w:r>
      <w:proofErr w:type="gramStart"/>
      <w:r>
        <w:rPr>
          <w:color w:val="595959"/>
          <w:sz w:val="20"/>
          <w:szCs w:val="20"/>
        </w:rPr>
        <w:t>Kaundinya  |</w:t>
      </w:r>
      <w:proofErr w:type="gramEnd"/>
      <w:r>
        <w:rPr>
          <w:color w:val="595959"/>
          <w:sz w:val="20"/>
          <w:szCs w:val="20"/>
        </w:rPr>
        <w:t xml:space="preserve">  Valuation date: July 13, 2026</w:t>
      </w:r>
    </w:p>
    <w:p w14:paraId="6C67A887" w14:textId="77777777" w:rsidR="00A25A4E" w:rsidRDefault="00A25A4E">
      <w:pPr>
        <w:pBdr>
          <w:bottom w:val="single" w:sz="6" w:space="0" w:color="1F3864"/>
        </w:pBdr>
        <w:spacing w:after="160"/>
      </w:pPr>
    </w:p>
    <w:p w14:paraId="5FB924D3" w14:textId="77777777" w:rsidR="00A25A4E" w:rsidRDefault="00000000">
      <w:pPr>
        <w:pStyle w:val="Heading1"/>
        <w:spacing w:before="280" w:after="140"/>
      </w:pPr>
      <w:r>
        <w:rPr>
          <w:b/>
          <w:bCs/>
          <w:color w:val="1F3864"/>
          <w:sz w:val="26"/>
          <w:szCs w:val="26"/>
        </w:rPr>
        <w:t>Summary</w:t>
      </w:r>
    </w:p>
    <w:p w14:paraId="5CC699AD" w14:textId="5F67B1A3" w:rsidR="00A25A4E" w:rsidRDefault="00000000">
      <w:pPr>
        <w:spacing w:after="120" w:line="276" w:lineRule="auto"/>
      </w:pPr>
      <w:r>
        <w:t>ENTG screens as the cheapest equipment name in my universe at 28.5x EV/EBITDA against a segment median of 53.0x. The DCF puts it at $</w:t>
      </w:r>
      <w:proofErr w:type="gramStart"/>
      <w:r>
        <w:t>48.04</w:t>
      </w:r>
      <w:proofErr w:type="gramEnd"/>
      <w:r>
        <w:t xml:space="preserve"> a share against a market price of $136.26. I don't </w:t>
      </w:r>
      <w:r w:rsidR="006F66AE">
        <w:t>believe</w:t>
      </w:r>
      <w:r>
        <w:t xml:space="preserve"> that number is right, and most of this memo is about why.</w:t>
      </w:r>
    </w:p>
    <w:p w14:paraId="4A0278AF" w14:textId="77777777" w:rsidR="00A25A4E" w:rsidRDefault="00000000">
      <w:pPr>
        <w:spacing w:after="120" w:line="276" w:lineRule="auto"/>
      </w:pPr>
      <w:r>
        <w:t>The mechanics hold up. Projected FY2026 free cash flow of $586M lands almost exactly on ENTG's own reported Q1 2026 free cash flow annualized, and the model's implied EBITDA margin of 29.2% sits above the 27.8% adjusted margin the company reports, so nothing here is being unfairly penalized. Bear gives $26.24 and bull gives $60.78. No case reaches the market price.</w:t>
      </w:r>
    </w:p>
    <w:p w14:paraId="5BDCAE8F" w14:textId="77777777" w:rsidR="00A25A4E" w:rsidRDefault="00000000">
      <w:pPr>
        <w:spacing w:after="120" w:line="276" w:lineRule="auto"/>
      </w:pPr>
      <w:r>
        <w:t xml:space="preserve">What breaks is the terminal assumption. Gordon Growth compresses ENTG from the 28.3x EBITDA it trades at today to 9.4x in 2030, and that single step accounts for the entire gap. Hold the exit multiple at today's level instead and the same model returns roughly $149, which is above the market price. Terminal value is 73.6% of enterprise value, at the top of the acceptable band. Both of those are the </w:t>
      </w:r>
      <w:proofErr w:type="gramStart"/>
      <w:r>
        <w:t>model</w:t>
      </w:r>
      <w:proofErr w:type="gramEnd"/>
      <w:r>
        <w:t xml:space="preserve"> telling </w:t>
      </w:r>
      <w:proofErr w:type="gramStart"/>
      <w:r>
        <w:t>me</w:t>
      </w:r>
      <w:proofErr w:type="gramEnd"/>
      <w:r>
        <w:t xml:space="preserve"> a five-year window with a GDP-anchored perpetuity is the wrong shape for this business.</w:t>
      </w:r>
    </w:p>
    <w:tbl>
      <w:tblPr>
        <w:tblW w:w="9360" w:type="dxa"/>
        <w:tblBorders>
          <w:top w:val="single" w:sz="4" w:space="0" w:color="999999"/>
          <w:bottom w:val="single" w:sz="4" w:space="0" w:color="999999"/>
          <w:insideH w:val="single" w:sz="2" w:space="0" w:color="CCCCCC"/>
        </w:tblBorders>
        <w:tblCellMar>
          <w:left w:w="10" w:type="dxa"/>
          <w:right w:w="10" w:type="dxa"/>
        </w:tblCellMar>
        <w:tblLook w:val="04A0" w:firstRow="1" w:lastRow="0" w:firstColumn="1" w:lastColumn="0" w:noHBand="0" w:noVBand="1"/>
      </w:tblPr>
      <w:tblGrid>
        <w:gridCol w:w="2900"/>
        <w:gridCol w:w="1500"/>
        <w:gridCol w:w="1500"/>
        <w:gridCol w:w="1730"/>
        <w:gridCol w:w="1730"/>
      </w:tblGrid>
      <w:tr w:rsidR="00A25A4E" w14:paraId="03AC3FDF" w14:textId="77777777">
        <w:tblPrEx>
          <w:tblCellMar>
            <w:top w:w="0" w:type="dxa"/>
            <w:bottom w:w="0" w:type="dxa"/>
          </w:tblCellMar>
        </w:tblPrEx>
        <w:trPr>
          <w:tblHeader/>
        </w:trPr>
        <w:tc>
          <w:tcPr>
            <w:tcW w:w="2900" w:type="dxa"/>
            <w:shd w:val="clear" w:color="auto" w:fill="EDF1F7"/>
            <w:tcMar>
              <w:top w:w="60" w:type="dxa"/>
              <w:left w:w="90" w:type="dxa"/>
              <w:bottom w:w="60" w:type="dxa"/>
              <w:right w:w="90" w:type="dxa"/>
            </w:tcMar>
          </w:tcPr>
          <w:p w14:paraId="3C218DC0" w14:textId="77777777" w:rsidR="00A25A4E" w:rsidRDefault="00000000">
            <w:r>
              <w:rPr>
                <w:b/>
                <w:bCs/>
                <w:sz w:val="20"/>
                <w:szCs w:val="20"/>
              </w:rPr>
              <w:t>Case</w:t>
            </w:r>
          </w:p>
        </w:tc>
        <w:tc>
          <w:tcPr>
            <w:tcW w:w="1500" w:type="dxa"/>
            <w:shd w:val="clear" w:color="auto" w:fill="EDF1F7"/>
            <w:tcMar>
              <w:top w:w="60" w:type="dxa"/>
              <w:left w:w="90" w:type="dxa"/>
              <w:bottom w:w="60" w:type="dxa"/>
              <w:right w:w="90" w:type="dxa"/>
            </w:tcMar>
          </w:tcPr>
          <w:p w14:paraId="6E47C481" w14:textId="77777777" w:rsidR="00A25A4E" w:rsidRDefault="00000000">
            <w:pPr>
              <w:jc w:val="right"/>
            </w:pPr>
            <w:r>
              <w:rPr>
                <w:b/>
                <w:bCs/>
                <w:sz w:val="20"/>
                <w:szCs w:val="20"/>
              </w:rPr>
              <w:t>Value/share</w:t>
            </w:r>
          </w:p>
        </w:tc>
        <w:tc>
          <w:tcPr>
            <w:tcW w:w="1500" w:type="dxa"/>
            <w:shd w:val="clear" w:color="auto" w:fill="EDF1F7"/>
            <w:tcMar>
              <w:top w:w="60" w:type="dxa"/>
              <w:left w:w="90" w:type="dxa"/>
              <w:bottom w:w="60" w:type="dxa"/>
              <w:right w:w="90" w:type="dxa"/>
            </w:tcMar>
          </w:tcPr>
          <w:p w14:paraId="524A8D30" w14:textId="77777777" w:rsidR="00A25A4E" w:rsidRDefault="00000000">
            <w:pPr>
              <w:jc w:val="right"/>
            </w:pPr>
            <w:r>
              <w:rPr>
                <w:b/>
                <w:bCs/>
                <w:sz w:val="20"/>
                <w:szCs w:val="20"/>
              </w:rPr>
              <w:t>vs. price</w:t>
            </w:r>
          </w:p>
        </w:tc>
        <w:tc>
          <w:tcPr>
            <w:tcW w:w="1730" w:type="dxa"/>
            <w:shd w:val="clear" w:color="auto" w:fill="EDF1F7"/>
            <w:tcMar>
              <w:top w:w="60" w:type="dxa"/>
              <w:left w:w="90" w:type="dxa"/>
              <w:bottom w:w="60" w:type="dxa"/>
              <w:right w:w="90" w:type="dxa"/>
            </w:tcMar>
          </w:tcPr>
          <w:p w14:paraId="11173BE3" w14:textId="77777777" w:rsidR="00A25A4E" w:rsidRDefault="00000000">
            <w:pPr>
              <w:jc w:val="right"/>
            </w:pPr>
            <w:r>
              <w:rPr>
                <w:b/>
                <w:bCs/>
                <w:sz w:val="20"/>
                <w:szCs w:val="20"/>
              </w:rPr>
              <w:t>Rev growth</w:t>
            </w:r>
          </w:p>
        </w:tc>
        <w:tc>
          <w:tcPr>
            <w:tcW w:w="1730" w:type="dxa"/>
            <w:shd w:val="clear" w:color="auto" w:fill="EDF1F7"/>
            <w:tcMar>
              <w:top w:w="60" w:type="dxa"/>
              <w:left w:w="90" w:type="dxa"/>
              <w:bottom w:w="60" w:type="dxa"/>
              <w:right w:w="90" w:type="dxa"/>
            </w:tcMar>
          </w:tcPr>
          <w:p w14:paraId="436137F3" w14:textId="77777777" w:rsidR="00A25A4E" w:rsidRDefault="00000000">
            <w:pPr>
              <w:jc w:val="right"/>
            </w:pPr>
            <w:r>
              <w:rPr>
                <w:b/>
                <w:bCs/>
                <w:sz w:val="20"/>
                <w:szCs w:val="20"/>
              </w:rPr>
              <w:t>Op margin</w:t>
            </w:r>
          </w:p>
        </w:tc>
      </w:tr>
      <w:tr w:rsidR="00A25A4E" w14:paraId="3AC4103B" w14:textId="77777777">
        <w:tblPrEx>
          <w:tblCellMar>
            <w:top w:w="0" w:type="dxa"/>
            <w:bottom w:w="0" w:type="dxa"/>
          </w:tblCellMar>
        </w:tblPrEx>
        <w:tc>
          <w:tcPr>
            <w:tcW w:w="2900" w:type="dxa"/>
            <w:tcMar>
              <w:top w:w="60" w:type="dxa"/>
              <w:left w:w="90" w:type="dxa"/>
              <w:bottom w:w="60" w:type="dxa"/>
              <w:right w:w="90" w:type="dxa"/>
            </w:tcMar>
          </w:tcPr>
          <w:p w14:paraId="021AF248" w14:textId="77777777" w:rsidR="00A25A4E" w:rsidRDefault="00000000">
            <w:r>
              <w:rPr>
                <w:sz w:val="20"/>
                <w:szCs w:val="20"/>
              </w:rPr>
              <w:t>Bear</w:t>
            </w:r>
          </w:p>
        </w:tc>
        <w:tc>
          <w:tcPr>
            <w:tcW w:w="1500" w:type="dxa"/>
            <w:tcMar>
              <w:top w:w="60" w:type="dxa"/>
              <w:left w:w="90" w:type="dxa"/>
              <w:bottom w:w="60" w:type="dxa"/>
              <w:right w:w="90" w:type="dxa"/>
            </w:tcMar>
          </w:tcPr>
          <w:p w14:paraId="5ECD6455" w14:textId="77777777" w:rsidR="00A25A4E" w:rsidRDefault="00000000">
            <w:pPr>
              <w:jc w:val="right"/>
            </w:pPr>
            <w:r>
              <w:rPr>
                <w:sz w:val="20"/>
                <w:szCs w:val="20"/>
              </w:rPr>
              <w:t>$26.24</w:t>
            </w:r>
          </w:p>
        </w:tc>
        <w:tc>
          <w:tcPr>
            <w:tcW w:w="1500" w:type="dxa"/>
            <w:tcMar>
              <w:top w:w="60" w:type="dxa"/>
              <w:left w:w="90" w:type="dxa"/>
              <w:bottom w:w="60" w:type="dxa"/>
              <w:right w:w="90" w:type="dxa"/>
            </w:tcMar>
          </w:tcPr>
          <w:p w14:paraId="088F0938" w14:textId="77777777" w:rsidR="00A25A4E" w:rsidRDefault="00000000">
            <w:pPr>
              <w:jc w:val="right"/>
            </w:pPr>
            <w:r>
              <w:rPr>
                <w:sz w:val="20"/>
                <w:szCs w:val="20"/>
              </w:rPr>
              <w:t>(80.7%)</w:t>
            </w:r>
          </w:p>
        </w:tc>
        <w:tc>
          <w:tcPr>
            <w:tcW w:w="1730" w:type="dxa"/>
            <w:tcMar>
              <w:top w:w="60" w:type="dxa"/>
              <w:left w:w="90" w:type="dxa"/>
              <w:bottom w:w="60" w:type="dxa"/>
              <w:right w:w="90" w:type="dxa"/>
            </w:tcMar>
          </w:tcPr>
          <w:p w14:paraId="726168E1" w14:textId="77777777" w:rsidR="00A25A4E" w:rsidRDefault="00000000">
            <w:pPr>
              <w:jc w:val="right"/>
            </w:pPr>
            <w:r>
              <w:rPr>
                <w:sz w:val="20"/>
                <w:szCs w:val="20"/>
              </w:rPr>
              <w:t>1% fading to 0%</w:t>
            </w:r>
          </w:p>
        </w:tc>
        <w:tc>
          <w:tcPr>
            <w:tcW w:w="1730" w:type="dxa"/>
            <w:tcMar>
              <w:top w:w="60" w:type="dxa"/>
              <w:left w:w="90" w:type="dxa"/>
              <w:bottom w:w="60" w:type="dxa"/>
              <w:right w:w="90" w:type="dxa"/>
            </w:tcMar>
          </w:tcPr>
          <w:p w14:paraId="1E018124" w14:textId="77777777" w:rsidR="00A25A4E" w:rsidRDefault="00000000">
            <w:pPr>
              <w:jc w:val="right"/>
            </w:pPr>
            <w:r>
              <w:rPr>
                <w:sz w:val="20"/>
                <w:szCs w:val="20"/>
              </w:rPr>
              <w:t>14% to 15%</w:t>
            </w:r>
          </w:p>
        </w:tc>
      </w:tr>
      <w:tr w:rsidR="00A25A4E" w14:paraId="041A9A41" w14:textId="77777777">
        <w:tblPrEx>
          <w:tblCellMar>
            <w:top w:w="0" w:type="dxa"/>
            <w:bottom w:w="0" w:type="dxa"/>
          </w:tblCellMar>
        </w:tblPrEx>
        <w:tc>
          <w:tcPr>
            <w:tcW w:w="2900" w:type="dxa"/>
            <w:tcMar>
              <w:top w:w="60" w:type="dxa"/>
              <w:left w:w="90" w:type="dxa"/>
              <w:bottom w:w="60" w:type="dxa"/>
              <w:right w:w="90" w:type="dxa"/>
            </w:tcMar>
          </w:tcPr>
          <w:p w14:paraId="0EAF6C39" w14:textId="77777777" w:rsidR="00A25A4E" w:rsidRDefault="00000000">
            <w:r>
              <w:rPr>
                <w:sz w:val="20"/>
                <w:szCs w:val="20"/>
              </w:rPr>
              <w:t>Base</w:t>
            </w:r>
          </w:p>
        </w:tc>
        <w:tc>
          <w:tcPr>
            <w:tcW w:w="1500" w:type="dxa"/>
            <w:tcMar>
              <w:top w:w="60" w:type="dxa"/>
              <w:left w:w="90" w:type="dxa"/>
              <w:bottom w:w="60" w:type="dxa"/>
              <w:right w:w="90" w:type="dxa"/>
            </w:tcMar>
          </w:tcPr>
          <w:p w14:paraId="7AD77070" w14:textId="77777777" w:rsidR="00A25A4E" w:rsidRDefault="00000000">
            <w:pPr>
              <w:jc w:val="right"/>
            </w:pPr>
            <w:r>
              <w:rPr>
                <w:sz w:val="20"/>
                <w:szCs w:val="20"/>
              </w:rPr>
              <w:t>$48.04</w:t>
            </w:r>
          </w:p>
        </w:tc>
        <w:tc>
          <w:tcPr>
            <w:tcW w:w="1500" w:type="dxa"/>
            <w:tcMar>
              <w:top w:w="60" w:type="dxa"/>
              <w:left w:w="90" w:type="dxa"/>
              <w:bottom w:w="60" w:type="dxa"/>
              <w:right w:w="90" w:type="dxa"/>
            </w:tcMar>
          </w:tcPr>
          <w:p w14:paraId="36017F8F" w14:textId="77777777" w:rsidR="00A25A4E" w:rsidRDefault="00000000">
            <w:pPr>
              <w:jc w:val="right"/>
            </w:pPr>
            <w:r>
              <w:rPr>
                <w:sz w:val="20"/>
                <w:szCs w:val="20"/>
              </w:rPr>
              <w:t>(64.7%)</w:t>
            </w:r>
          </w:p>
        </w:tc>
        <w:tc>
          <w:tcPr>
            <w:tcW w:w="1730" w:type="dxa"/>
            <w:tcMar>
              <w:top w:w="60" w:type="dxa"/>
              <w:left w:w="90" w:type="dxa"/>
              <w:bottom w:w="60" w:type="dxa"/>
              <w:right w:w="90" w:type="dxa"/>
            </w:tcMar>
          </w:tcPr>
          <w:p w14:paraId="728768FD" w14:textId="77777777" w:rsidR="00A25A4E" w:rsidRDefault="00000000">
            <w:pPr>
              <w:jc w:val="right"/>
            </w:pPr>
            <w:r>
              <w:rPr>
                <w:sz w:val="20"/>
                <w:szCs w:val="20"/>
              </w:rPr>
              <w:t>6% fading to 4%</w:t>
            </w:r>
          </w:p>
        </w:tc>
        <w:tc>
          <w:tcPr>
            <w:tcW w:w="1730" w:type="dxa"/>
            <w:tcMar>
              <w:top w:w="60" w:type="dxa"/>
              <w:left w:w="90" w:type="dxa"/>
              <w:bottom w:w="60" w:type="dxa"/>
              <w:right w:w="90" w:type="dxa"/>
            </w:tcMar>
          </w:tcPr>
          <w:p w14:paraId="4FD39C28" w14:textId="77777777" w:rsidR="00A25A4E" w:rsidRDefault="00000000">
            <w:pPr>
              <w:jc w:val="right"/>
            </w:pPr>
            <w:r>
              <w:rPr>
                <w:sz w:val="20"/>
                <w:szCs w:val="20"/>
              </w:rPr>
              <w:t>17% to 21%</w:t>
            </w:r>
          </w:p>
        </w:tc>
      </w:tr>
      <w:tr w:rsidR="00A25A4E" w14:paraId="7B00327E" w14:textId="77777777">
        <w:tblPrEx>
          <w:tblCellMar>
            <w:top w:w="0" w:type="dxa"/>
            <w:bottom w:w="0" w:type="dxa"/>
          </w:tblCellMar>
        </w:tblPrEx>
        <w:tc>
          <w:tcPr>
            <w:tcW w:w="2900" w:type="dxa"/>
            <w:tcMar>
              <w:top w:w="60" w:type="dxa"/>
              <w:left w:w="90" w:type="dxa"/>
              <w:bottom w:w="60" w:type="dxa"/>
              <w:right w:w="90" w:type="dxa"/>
            </w:tcMar>
          </w:tcPr>
          <w:p w14:paraId="0B9C5C6D" w14:textId="77777777" w:rsidR="00A25A4E" w:rsidRDefault="00000000">
            <w:r>
              <w:rPr>
                <w:sz w:val="20"/>
                <w:szCs w:val="20"/>
              </w:rPr>
              <w:t>Bull</w:t>
            </w:r>
          </w:p>
        </w:tc>
        <w:tc>
          <w:tcPr>
            <w:tcW w:w="1500" w:type="dxa"/>
            <w:tcMar>
              <w:top w:w="60" w:type="dxa"/>
              <w:left w:w="90" w:type="dxa"/>
              <w:bottom w:w="60" w:type="dxa"/>
              <w:right w:w="90" w:type="dxa"/>
            </w:tcMar>
          </w:tcPr>
          <w:p w14:paraId="0892668B" w14:textId="77777777" w:rsidR="00A25A4E" w:rsidRDefault="00000000">
            <w:pPr>
              <w:jc w:val="right"/>
            </w:pPr>
            <w:r>
              <w:rPr>
                <w:sz w:val="20"/>
                <w:szCs w:val="20"/>
              </w:rPr>
              <w:t>$60.78</w:t>
            </w:r>
          </w:p>
        </w:tc>
        <w:tc>
          <w:tcPr>
            <w:tcW w:w="1500" w:type="dxa"/>
            <w:tcMar>
              <w:top w:w="60" w:type="dxa"/>
              <w:left w:w="90" w:type="dxa"/>
              <w:bottom w:w="60" w:type="dxa"/>
              <w:right w:w="90" w:type="dxa"/>
            </w:tcMar>
          </w:tcPr>
          <w:p w14:paraId="737484A9" w14:textId="77777777" w:rsidR="00A25A4E" w:rsidRDefault="00000000">
            <w:pPr>
              <w:jc w:val="right"/>
            </w:pPr>
            <w:r>
              <w:rPr>
                <w:sz w:val="20"/>
                <w:szCs w:val="20"/>
              </w:rPr>
              <w:t>(55.4%)</w:t>
            </w:r>
          </w:p>
        </w:tc>
        <w:tc>
          <w:tcPr>
            <w:tcW w:w="1730" w:type="dxa"/>
            <w:tcMar>
              <w:top w:w="60" w:type="dxa"/>
              <w:left w:w="90" w:type="dxa"/>
              <w:bottom w:w="60" w:type="dxa"/>
              <w:right w:w="90" w:type="dxa"/>
            </w:tcMar>
          </w:tcPr>
          <w:p w14:paraId="58124101" w14:textId="77777777" w:rsidR="00A25A4E" w:rsidRDefault="00000000">
            <w:pPr>
              <w:jc w:val="right"/>
            </w:pPr>
            <w:r>
              <w:rPr>
                <w:sz w:val="20"/>
                <w:szCs w:val="20"/>
              </w:rPr>
              <w:t>10% fading to 6%</w:t>
            </w:r>
          </w:p>
        </w:tc>
        <w:tc>
          <w:tcPr>
            <w:tcW w:w="1730" w:type="dxa"/>
            <w:tcMar>
              <w:top w:w="60" w:type="dxa"/>
              <w:left w:w="90" w:type="dxa"/>
              <w:bottom w:w="60" w:type="dxa"/>
              <w:right w:w="90" w:type="dxa"/>
            </w:tcMar>
          </w:tcPr>
          <w:p w14:paraId="4F5495B5" w14:textId="77777777" w:rsidR="00A25A4E" w:rsidRDefault="00000000">
            <w:pPr>
              <w:jc w:val="right"/>
            </w:pPr>
            <w:r>
              <w:rPr>
                <w:sz w:val="20"/>
                <w:szCs w:val="20"/>
              </w:rPr>
              <w:t>18% to 23%</w:t>
            </w:r>
          </w:p>
        </w:tc>
      </w:tr>
      <w:tr w:rsidR="00A25A4E" w14:paraId="1AE8499A" w14:textId="77777777">
        <w:tblPrEx>
          <w:tblCellMar>
            <w:top w:w="0" w:type="dxa"/>
            <w:bottom w:w="0" w:type="dxa"/>
          </w:tblCellMar>
        </w:tblPrEx>
        <w:tc>
          <w:tcPr>
            <w:tcW w:w="2900" w:type="dxa"/>
            <w:tcMar>
              <w:top w:w="60" w:type="dxa"/>
              <w:left w:w="90" w:type="dxa"/>
              <w:bottom w:w="60" w:type="dxa"/>
              <w:right w:w="90" w:type="dxa"/>
            </w:tcMar>
          </w:tcPr>
          <w:p w14:paraId="519E01A3" w14:textId="77777777" w:rsidR="00A25A4E" w:rsidRDefault="00000000">
            <w:r>
              <w:rPr>
                <w:sz w:val="20"/>
                <w:szCs w:val="20"/>
              </w:rPr>
              <w:t>Market</w:t>
            </w:r>
          </w:p>
        </w:tc>
        <w:tc>
          <w:tcPr>
            <w:tcW w:w="1500" w:type="dxa"/>
            <w:tcMar>
              <w:top w:w="60" w:type="dxa"/>
              <w:left w:w="90" w:type="dxa"/>
              <w:bottom w:w="60" w:type="dxa"/>
              <w:right w:w="90" w:type="dxa"/>
            </w:tcMar>
          </w:tcPr>
          <w:p w14:paraId="35B1996A" w14:textId="77777777" w:rsidR="00A25A4E" w:rsidRDefault="00000000">
            <w:pPr>
              <w:jc w:val="right"/>
            </w:pPr>
            <w:r>
              <w:rPr>
                <w:sz w:val="20"/>
                <w:szCs w:val="20"/>
              </w:rPr>
              <w:t>$136.26</w:t>
            </w:r>
          </w:p>
        </w:tc>
        <w:tc>
          <w:tcPr>
            <w:tcW w:w="1500" w:type="dxa"/>
            <w:tcMar>
              <w:top w:w="60" w:type="dxa"/>
              <w:left w:w="90" w:type="dxa"/>
              <w:bottom w:w="60" w:type="dxa"/>
              <w:right w:w="90" w:type="dxa"/>
            </w:tcMar>
          </w:tcPr>
          <w:p w14:paraId="7957511E" w14:textId="77777777" w:rsidR="00A25A4E" w:rsidRDefault="00000000">
            <w:pPr>
              <w:jc w:val="right"/>
            </w:pPr>
            <w:r>
              <w:rPr>
                <w:sz w:val="20"/>
                <w:szCs w:val="20"/>
              </w:rPr>
              <w:t>n/a</w:t>
            </w:r>
          </w:p>
        </w:tc>
        <w:tc>
          <w:tcPr>
            <w:tcW w:w="1730" w:type="dxa"/>
            <w:tcMar>
              <w:top w:w="60" w:type="dxa"/>
              <w:left w:w="90" w:type="dxa"/>
              <w:bottom w:w="60" w:type="dxa"/>
              <w:right w:w="90" w:type="dxa"/>
            </w:tcMar>
          </w:tcPr>
          <w:p w14:paraId="25CFF565" w14:textId="77777777" w:rsidR="00A25A4E" w:rsidRDefault="00000000">
            <w:pPr>
              <w:jc w:val="right"/>
            </w:pPr>
            <w:r>
              <w:rPr>
                <w:sz w:val="20"/>
                <w:szCs w:val="20"/>
              </w:rPr>
              <w:t>n/a</w:t>
            </w:r>
          </w:p>
        </w:tc>
        <w:tc>
          <w:tcPr>
            <w:tcW w:w="1730" w:type="dxa"/>
            <w:tcMar>
              <w:top w:w="60" w:type="dxa"/>
              <w:left w:w="90" w:type="dxa"/>
              <w:bottom w:w="60" w:type="dxa"/>
              <w:right w:w="90" w:type="dxa"/>
            </w:tcMar>
          </w:tcPr>
          <w:p w14:paraId="3605E328" w14:textId="77777777" w:rsidR="00A25A4E" w:rsidRDefault="00000000">
            <w:pPr>
              <w:jc w:val="right"/>
            </w:pPr>
            <w:r>
              <w:rPr>
                <w:sz w:val="20"/>
                <w:szCs w:val="20"/>
              </w:rPr>
              <w:t>n/a</w:t>
            </w:r>
          </w:p>
        </w:tc>
      </w:tr>
    </w:tbl>
    <w:p w14:paraId="5C5C6B24" w14:textId="77777777" w:rsidR="00A25A4E" w:rsidRDefault="00A25A4E">
      <w:pPr>
        <w:spacing w:after="120" w:line="276" w:lineRule="auto"/>
      </w:pPr>
    </w:p>
    <w:p w14:paraId="608727E2" w14:textId="77777777" w:rsidR="00A25A4E" w:rsidRDefault="00000000">
      <w:pPr>
        <w:pStyle w:val="Heading1"/>
        <w:spacing w:before="280" w:after="140"/>
      </w:pPr>
      <w:r>
        <w:rPr>
          <w:b/>
          <w:bCs/>
          <w:color w:val="1F3864"/>
          <w:sz w:val="26"/>
          <w:szCs w:val="26"/>
        </w:rPr>
        <w:t>Scope and Sourcing</w:t>
      </w:r>
    </w:p>
    <w:p w14:paraId="3C11E0D8" w14:textId="77777777" w:rsidR="00A25A4E" w:rsidRDefault="00000000">
      <w:pPr>
        <w:spacing w:after="120" w:line="276" w:lineRule="auto"/>
      </w:pPr>
      <w:r>
        <w:t xml:space="preserve">Every financial input comes from SEC EDGAR's XBRL </w:t>
      </w:r>
      <w:proofErr w:type="spellStart"/>
      <w:r>
        <w:t>companyfacts</w:t>
      </w:r>
      <w:proofErr w:type="spellEnd"/>
      <w:r>
        <w:t xml:space="preserve"> API. Market capitalization and beta are the exceptions, since </w:t>
      </w:r>
      <w:proofErr w:type="gramStart"/>
      <w:r>
        <w:t>they're</w:t>
      </w:r>
      <w:proofErr w:type="gramEnd"/>
      <w:r>
        <w:t xml:space="preserve"> market data and can't come from </w:t>
      </w:r>
      <w:proofErr w:type="gramStart"/>
      <w:r>
        <w:t>a filing</w:t>
      </w:r>
      <w:proofErr w:type="gramEnd"/>
      <w:r>
        <w:t xml:space="preserve">. Both are pulled from </w:t>
      </w:r>
      <w:proofErr w:type="spellStart"/>
      <w:r>
        <w:t>yfinance</w:t>
      </w:r>
      <w:proofErr w:type="spellEnd"/>
      <w:r>
        <w:t xml:space="preserve"> and frozen at the valuation date.</w:t>
      </w:r>
    </w:p>
    <w:p w14:paraId="14EB8CD9" w14:textId="77777777" w:rsidR="00A25A4E" w:rsidRDefault="00000000">
      <w:pPr>
        <w:spacing w:after="120" w:line="276" w:lineRule="auto"/>
      </w:pPr>
      <w:r>
        <w:t>Vendor-computed fields fail in ways you can't see until you check them. Testing against NVIDIA as an oracle, one commercial EBITDA field overstated the figure by $11.3 billion by folding non-operating income into the calculation. Building from raw XBRL tags is slower, but every number here traces back to a line in a 10-K.</w:t>
      </w:r>
    </w:p>
    <w:p w14:paraId="2B871429" w14:textId="77777777" w:rsidR="00A25A4E" w:rsidRDefault="00000000">
      <w:pPr>
        <w:spacing w:after="120" w:line="276" w:lineRule="auto"/>
      </w:pPr>
      <w:r>
        <w:t>The screener covers 14 US-listed names across equipment (AMAT, LRCX, KLAC, TER, MKSI, ENTG) and designer/</w:t>
      </w:r>
      <w:proofErr w:type="gramStart"/>
      <w:r>
        <w:t>fabless</w:t>
      </w:r>
      <w:proofErr w:type="gramEnd"/>
      <w:r>
        <w:t xml:space="preserve"> (NVDA, AVGO, QCOM, AMD, TXN, MRVL, MPWR, LSCC). Memory names like MU and WDC are out because a commodity pricing cycle drives their earnings rather than design or process differentiation, which makes trailing multiples incomparable. Foundries and foreign private issuers (TSM, ASML, UMC) are out because they file 20-Fs under IFRS, and their tags don't map to the us-</w:t>
      </w:r>
      <w:proofErr w:type="spellStart"/>
      <w:r>
        <w:t>gaap</w:t>
      </w:r>
      <w:proofErr w:type="spellEnd"/>
      <w:r>
        <w:t xml:space="preserve"> taxonomy this pipeline reads.</w:t>
      </w:r>
    </w:p>
    <w:p w14:paraId="781D2CA0" w14:textId="77777777" w:rsidR="00A25A4E" w:rsidRDefault="00000000">
      <w:pPr>
        <w:spacing w:after="120" w:line="276" w:lineRule="auto"/>
      </w:pPr>
      <w:r>
        <w:t xml:space="preserve">ENTG's own history needs a caveat that QCOM's didn't. The four-year revenue series runs 3.28, 3.52, 3.24, 3.20, but it spans the CMC Materials acquisition closing in July 2022 and the divestitures that followed, which show up on the balance sheet as discontinued-operation tags through that year. It isn't </w:t>
      </w:r>
      <w:r>
        <w:lastRenderedPageBreak/>
        <w:t>organic growth and I haven't treated it as such. Growth assumptions are anchored to forward consensus and management guidance instead, and the historical series is used only for the ratios (D&amp;A, capex, working capital) where the acquisition distortion washes out.</w:t>
      </w:r>
    </w:p>
    <w:p w14:paraId="1245FE1F" w14:textId="77777777" w:rsidR="00A25A4E" w:rsidRDefault="00000000">
      <w:pPr>
        <w:pStyle w:val="Heading1"/>
        <w:spacing w:before="280" w:after="140"/>
      </w:pPr>
      <w:r>
        <w:rPr>
          <w:b/>
          <w:bCs/>
          <w:color w:val="1F3864"/>
          <w:sz w:val="26"/>
          <w:szCs w:val="26"/>
        </w:rPr>
        <w:t>Methodology Decisions</w:t>
      </w:r>
    </w:p>
    <w:tbl>
      <w:tblPr>
        <w:tblW w:w="9360" w:type="dxa"/>
        <w:tblBorders>
          <w:top w:val="single" w:sz="4" w:space="0" w:color="999999"/>
          <w:bottom w:val="single" w:sz="4" w:space="0" w:color="999999"/>
          <w:insideH w:val="single" w:sz="2" w:space="0" w:color="CCCCCC"/>
        </w:tblBorders>
        <w:tblCellMar>
          <w:left w:w="10" w:type="dxa"/>
          <w:right w:w="10" w:type="dxa"/>
        </w:tblCellMar>
        <w:tblLook w:val="04A0" w:firstRow="1" w:lastRow="0" w:firstColumn="1" w:lastColumn="0" w:noHBand="0" w:noVBand="1"/>
      </w:tblPr>
      <w:tblGrid>
        <w:gridCol w:w="2400"/>
        <w:gridCol w:w="6960"/>
      </w:tblGrid>
      <w:tr w:rsidR="00A25A4E" w14:paraId="167FAA39" w14:textId="77777777">
        <w:tblPrEx>
          <w:tblCellMar>
            <w:top w:w="0" w:type="dxa"/>
            <w:bottom w:w="0" w:type="dxa"/>
          </w:tblCellMar>
        </w:tblPrEx>
        <w:trPr>
          <w:tblHeader/>
        </w:trPr>
        <w:tc>
          <w:tcPr>
            <w:tcW w:w="2400" w:type="dxa"/>
            <w:shd w:val="clear" w:color="auto" w:fill="EDF1F7"/>
            <w:tcMar>
              <w:top w:w="60" w:type="dxa"/>
              <w:left w:w="90" w:type="dxa"/>
              <w:bottom w:w="60" w:type="dxa"/>
              <w:right w:w="90" w:type="dxa"/>
            </w:tcMar>
          </w:tcPr>
          <w:p w14:paraId="2232B8D1" w14:textId="77777777" w:rsidR="00A25A4E" w:rsidRDefault="00000000">
            <w:r>
              <w:rPr>
                <w:b/>
                <w:bCs/>
                <w:sz w:val="20"/>
                <w:szCs w:val="20"/>
              </w:rPr>
              <w:t>Decision</w:t>
            </w:r>
          </w:p>
        </w:tc>
        <w:tc>
          <w:tcPr>
            <w:tcW w:w="6960" w:type="dxa"/>
            <w:shd w:val="clear" w:color="auto" w:fill="EDF1F7"/>
            <w:tcMar>
              <w:top w:w="60" w:type="dxa"/>
              <w:left w:w="90" w:type="dxa"/>
              <w:bottom w:w="60" w:type="dxa"/>
              <w:right w:w="90" w:type="dxa"/>
            </w:tcMar>
          </w:tcPr>
          <w:p w14:paraId="0EE8DD54" w14:textId="77777777" w:rsidR="00A25A4E" w:rsidRDefault="00000000">
            <w:r>
              <w:rPr>
                <w:b/>
                <w:bCs/>
                <w:sz w:val="20"/>
                <w:szCs w:val="20"/>
              </w:rPr>
              <w:t>Reasoning</w:t>
            </w:r>
          </w:p>
        </w:tc>
      </w:tr>
      <w:tr w:rsidR="00A25A4E" w14:paraId="7F44A96A" w14:textId="77777777">
        <w:tblPrEx>
          <w:tblCellMar>
            <w:top w:w="0" w:type="dxa"/>
            <w:bottom w:w="0" w:type="dxa"/>
          </w:tblCellMar>
        </w:tblPrEx>
        <w:tc>
          <w:tcPr>
            <w:tcW w:w="2400" w:type="dxa"/>
            <w:tcMar>
              <w:top w:w="60" w:type="dxa"/>
              <w:left w:w="90" w:type="dxa"/>
              <w:bottom w:w="60" w:type="dxa"/>
              <w:right w:w="90" w:type="dxa"/>
            </w:tcMar>
          </w:tcPr>
          <w:p w14:paraId="3AB203DB" w14:textId="77777777" w:rsidR="00A25A4E" w:rsidRDefault="00000000">
            <w:r>
              <w:rPr>
                <w:sz w:val="20"/>
                <w:szCs w:val="20"/>
              </w:rPr>
              <w:t>EBITDA = operating income + D&amp;A</w:t>
            </w:r>
          </w:p>
        </w:tc>
        <w:tc>
          <w:tcPr>
            <w:tcW w:w="6960" w:type="dxa"/>
            <w:tcMar>
              <w:top w:w="60" w:type="dxa"/>
              <w:left w:w="90" w:type="dxa"/>
              <w:bottom w:w="60" w:type="dxa"/>
              <w:right w:w="90" w:type="dxa"/>
            </w:tcMar>
          </w:tcPr>
          <w:p w14:paraId="5A4AB668" w14:textId="77777777" w:rsidR="00A25A4E" w:rsidRDefault="00000000">
            <w:r>
              <w:rPr>
                <w:sz w:val="20"/>
                <w:szCs w:val="20"/>
              </w:rPr>
              <w:t xml:space="preserve">D&amp;A comes from the cash flow statement and includes intangible amortization. Several filers report a combined D&amp;A tag that quietly excludes it, and several split </w:t>
            </w:r>
            <w:proofErr w:type="gramStart"/>
            <w:r>
              <w:rPr>
                <w:sz w:val="20"/>
                <w:szCs w:val="20"/>
              </w:rPr>
              <w:t>depreciation</w:t>
            </w:r>
            <w:proofErr w:type="gramEnd"/>
            <w:r>
              <w:rPr>
                <w:sz w:val="20"/>
                <w:szCs w:val="20"/>
              </w:rPr>
              <w:t xml:space="preserve"> across multiple tags. Both understate EBITDA. The extractor takes the greater of the combined tag and the summed components.</w:t>
            </w:r>
          </w:p>
        </w:tc>
      </w:tr>
      <w:tr w:rsidR="00A25A4E" w14:paraId="56D052CD" w14:textId="77777777">
        <w:tblPrEx>
          <w:tblCellMar>
            <w:top w:w="0" w:type="dxa"/>
            <w:bottom w:w="0" w:type="dxa"/>
          </w:tblCellMar>
        </w:tblPrEx>
        <w:tc>
          <w:tcPr>
            <w:tcW w:w="2400" w:type="dxa"/>
            <w:tcMar>
              <w:top w:w="60" w:type="dxa"/>
              <w:left w:w="90" w:type="dxa"/>
              <w:bottom w:w="60" w:type="dxa"/>
              <w:right w:w="90" w:type="dxa"/>
            </w:tcMar>
          </w:tcPr>
          <w:p w14:paraId="08244E75" w14:textId="77777777" w:rsidR="00A25A4E" w:rsidRDefault="00000000">
            <w:r>
              <w:rPr>
                <w:sz w:val="20"/>
                <w:szCs w:val="20"/>
              </w:rPr>
              <w:t>Debt = long-term debt + finance leases</w:t>
            </w:r>
          </w:p>
        </w:tc>
        <w:tc>
          <w:tcPr>
            <w:tcW w:w="6960" w:type="dxa"/>
            <w:tcMar>
              <w:top w:w="60" w:type="dxa"/>
              <w:left w:w="90" w:type="dxa"/>
              <w:bottom w:w="60" w:type="dxa"/>
              <w:right w:w="90" w:type="dxa"/>
            </w:tcMar>
          </w:tcPr>
          <w:p w14:paraId="73E29739" w14:textId="77777777" w:rsidR="00A25A4E" w:rsidRDefault="00000000">
            <w:r>
              <w:rPr>
                <w:sz w:val="20"/>
                <w:szCs w:val="20"/>
              </w:rPr>
              <w:t>Operating leases are excluded. EBITDA is struck after operating lease expense, so adding the operating lease liability to enterprise value would count it twice. ENTG's finance lease balance is $0.02B, so the distinction barely moves the answer here, but the rule is the same one the screen applies to all 14 names.</w:t>
            </w:r>
          </w:p>
        </w:tc>
      </w:tr>
      <w:tr w:rsidR="00A25A4E" w14:paraId="79E45D71" w14:textId="77777777">
        <w:tblPrEx>
          <w:tblCellMar>
            <w:top w:w="0" w:type="dxa"/>
            <w:bottom w:w="0" w:type="dxa"/>
          </w:tblCellMar>
        </w:tblPrEx>
        <w:tc>
          <w:tcPr>
            <w:tcW w:w="2400" w:type="dxa"/>
            <w:tcMar>
              <w:top w:w="60" w:type="dxa"/>
              <w:left w:w="90" w:type="dxa"/>
              <w:bottom w:w="60" w:type="dxa"/>
              <w:right w:w="90" w:type="dxa"/>
            </w:tcMar>
          </w:tcPr>
          <w:p w14:paraId="11056E4C" w14:textId="77777777" w:rsidR="00A25A4E" w:rsidRDefault="00000000">
            <w:r>
              <w:rPr>
                <w:sz w:val="20"/>
                <w:szCs w:val="20"/>
              </w:rPr>
              <w:t>Cash has one definition here</w:t>
            </w:r>
          </w:p>
        </w:tc>
        <w:tc>
          <w:tcPr>
            <w:tcW w:w="6960" w:type="dxa"/>
            <w:tcMar>
              <w:top w:w="60" w:type="dxa"/>
              <w:left w:w="90" w:type="dxa"/>
              <w:bottom w:w="60" w:type="dxa"/>
              <w:right w:w="90" w:type="dxa"/>
            </w:tcMar>
          </w:tcPr>
          <w:p w14:paraId="18651BB3" w14:textId="77777777" w:rsidR="00A25A4E" w:rsidRDefault="00000000">
            <w:r>
              <w:rPr>
                <w:sz w:val="20"/>
                <w:szCs w:val="20"/>
              </w:rPr>
              <w:t xml:space="preserve">For QCOM I refined liquidity at the DCF stage to include $4.63B of current marketable securities. ENTG reports none: the only tag carrying a balance is cash and equivalents, at $0.36B. </w:t>
            </w:r>
            <w:proofErr w:type="gramStart"/>
            <w:r>
              <w:rPr>
                <w:sz w:val="20"/>
                <w:szCs w:val="20"/>
              </w:rPr>
              <w:t>So</w:t>
            </w:r>
            <w:proofErr w:type="gramEnd"/>
            <w:r>
              <w:rPr>
                <w:sz w:val="20"/>
                <w:szCs w:val="20"/>
              </w:rPr>
              <w:t xml:space="preserve"> the screen definition and the DCF definition coincide, and there's nothing to reconcile.</w:t>
            </w:r>
          </w:p>
        </w:tc>
      </w:tr>
      <w:tr w:rsidR="00A25A4E" w14:paraId="7D5BE49C" w14:textId="77777777">
        <w:tblPrEx>
          <w:tblCellMar>
            <w:top w:w="0" w:type="dxa"/>
            <w:bottom w:w="0" w:type="dxa"/>
          </w:tblCellMar>
        </w:tblPrEx>
        <w:tc>
          <w:tcPr>
            <w:tcW w:w="2400" w:type="dxa"/>
            <w:tcMar>
              <w:top w:w="60" w:type="dxa"/>
              <w:left w:w="90" w:type="dxa"/>
              <w:bottom w:w="60" w:type="dxa"/>
              <w:right w:w="90" w:type="dxa"/>
            </w:tcMar>
          </w:tcPr>
          <w:p w14:paraId="48E1B9D4" w14:textId="77777777" w:rsidR="00A25A4E" w:rsidRDefault="00000000">
            <w:r>
              <w:rPr>
                <w:sz w:val="20"/>
                <w:szCs w:val="20"/>
              </w:rPr>
              <w:t xml:space="preserve">Market cap from </w:t>
            </w:r>
            <w:proofErr w:type="spellStart"/>
            <w:r>
              <w:rPr>
                <w:sz w:val="20"/>
                <w:szCs w:val="20"/>
              </w:rPr>
              <w:t>yfinance</w:t>
            </w:r>
            <w:proofErr w:type="spellEnd"/>
          </w:p>
        </w:tc>
        <w:tc>
          <w:tcPr>
            <w:tcW w:w="6960" w:type="dxa"/>
            <w:tcMar>
              <w:top w:w="60" w:type="dxa"/>
              <w:left w:w="90" w:type="dxa"/>
              <w:bottom w:w="60" w:type="dxa"/>
              <w:right w:w="90" w:type="dxa"/>
            </w:tcMar>
          </w:tcPr>
          <w:p w14:paraId="16A2C492" w14:textId="77777777" w:rsidR="00A25A4E" w:rsidRDefault="00000000">
            <w:r>
              <w:rPr>
                <w:sz w:val="20"/>
                <w:szCs w:val="20"/>
              </w:rPr>
              <w:t xml:space="preserve">The EDGAR share count is as of the last 10-K while the price is </w:t>
            </w:r>
            <w:proofErr w:type="gramStart"/>
            <w:r>
              <w:rPr>
                <w:sz w:val="20"/>
                <w:szCs w:val="20"/>
              </w:rPr>
              <w:t>live</w:t>
            </w:r>
            <w:proofErr w:type="gramEnd"/>
            <w:r>
              <w:rPr>
                <w:sz w:val="20"/>
                <w:szCs w:val="20"/>
              </w:rPr>
              <w:t>. KLA's 10-for-1 split after its filing made the two inconsistent and understated its market cap tenfold. Taking market cap from a single live snapshot is split-safe.</w:t>
            </w:r>
          </w:p>
        </w:tc>
      </w:tr>
      <w:tr w:rsidR="00A25A4E" w14:paraId="4737A216" w14:textId="77777777">
        <w:tblPrEx>
          <w:tblCellMar>
            <w:top w:w="0" w:type="dxa"/>
            <w:bottom w:w="0" w:type="dxa"/>
          </w:tblCellMar>
        </w:tblPrEx>
        <w:tc>
          <w:tcPr>
            <w:tcW w:w="2400" w:type="dxa"/>
            <w:tcMar>
              <w:top w:w="60" w:type="dxa"/>
              <w:left w:w="90" w:type="dxa"/>
              <w:bottom w:w="60" w:type="dxa"/>
              <w:right w:w="90" w:type="dxa"/>
            </w:tcMar>
          </w:tcPr>
          <w:p w14:paraId="495E3121" w14:textId="77777777" w:rsidR="00A25A4E" w:rsidRDefault="00000000">
            <w:r>
              <w:rPr>
                <w:sz w:val="20"/>
                <w:szCs w:val="20"/>
              </w:rPr>
              <w:t>Tax rate derived, not observed</w:t>
            </w:r>
          </w:p>
        </w:tc>
        <w:tc>
          <w:tcPr>
            <w:tcW w:w="6960" w:type="dxa"/>
            <w:tcMar>
              <w:top w:w="60" w:type="dxa"/>
              <w:left w:w="90" w:type="dxa"/>
              <w:bottom w:w="60" w:type="dxa"/>
              <w:right w:w="90" w:type="dxa"/>
            </w:tcMar>
          </w:tcPr>
          <w:p w14:paraId="3D8F8D97" w14:textId="77777777" w:rsidR="00A25A4E" w:rsidRDefault="00000000">
            <w:r>
              <w:rPr>
                <w:sz w:val="20"/>
                <w:szCs w:val="20"/>
              </w:rPr>
              <w:t>ENTG's reported effective rates were 16%, negative 6%, 9%, and 8%. Applying any of those to EBIT would double-count the interest shield, because those rates are struck on pretax income that already carries $0.20B to $0.31B of interest expense, and unlevered free cash flow taxes EBIT with no interest deduction in it. Adding the shield back at 21% gives unlevered rates of 17.5%, 11.0%, 14.3%, and 13.5%. I use 14%.</w:t>
            </w:r>
          </w:p>
        </w:tc>
      </w:tr>
      <w:tr w:rsidR="00A25A4E" w14:paraId="2B4F2E6E" w14:textId="77777777">
        <w:tblPrEx>
          <w:tblCellMar>
            <w:top w:w="0" w:type="dxa"/>
            <w:bottom w:w="0" w:type="dxa"/>
          </w:tblCellMar>
        </w:tblPrEx>
        <w:tc>
          <w:tcPr>
            <w:tcW w:w="2400" w:type="dxa"/>
            <w:tcMar>
              <w:top w:w="60" w:type="dxa"/>
              <w:left w:w="90" w:type="dxa"/>
              <w:bottom w:w="60" w:type="dxa"/>
              <w:right w:w="90" w:type="dxa"/>
            </w:tcMar>
          </w:tcPr>
          <w:p w14:paraId="3C5203BA" w14:textId="77777777" w:rsidR="00A25A4E" w:rsidRDefault="00000000">
            <w:r>
              <w:rPr>
                <w:sz w:val="20"/>
                <w:szCs w:val="20"/>
              </w:rPr>
              <w:t>Interest expense tag</w:t>
            </w:r>
          </w:p>
        </w:tc>
        <w:tc>
          <w:tcPr>
            <w:tcW w:w="6960" w:type="dxa"/>
            <w:tcMar>
              <w:top w:w="60" w:type="dxa"/>
              <w:left w:w="90" w:type="dxa"/>
              <w:bottom w:w="60" w:type="dxa"/>
              <w:right w:w="90" w:type="dxa"/>
            </w:tcMar>
          </w:tcPr>
          <w:p w14:paraId="3165D954" w14:textId="77777777" w:rsidR="00A25A4E" w:rsidRDefault="00000000">
            <w:r>
              <w:rPr>
                <w:sz w:val="20"/>
                <w:szCs w:val="20"/>
              </w:rPr>
              <w:t xml:space="preserve">ENTG re-tagged mid-series. </w:t>
            </w:r>
            <w:proofErr w:type="spellStart"/>
            <w:r>
              <w:rPr>
                <w:sz w:val="20"/>
                <w:szCs w:val="20"/>
              </w:rPr>
              <w:t>InterestExpense</w:t>
            </w:r>
            <w:proofErr w:type="spellEnd"/>
            <w:r>
              <w:rPr>
                <w:sz w:val="20"/>
                <w:szCs w:val="20"/>
              </w:rPr>
              <w:t xml:space="preserve"> carries FY2022 through FY2024, </w:t>
            </w:r>
            <w:proofErr w:type="spellStart"/>
            <w:r>
              <w:rPr>
                <w:sz w:val="20"/>
                <w:szCs w:val="20"/>
              </w:rPr>
              <w:t>InterestExpenseNonoperating</w:t>
            </w:r>
            <w:proofErr w:type="spellEnd"/>
            <w:r>
              <w:rPr>
                <w:sz w:val="20"/>
                <w:szCs w:val="20"/>
              </w:rPr>
              <w:t xml:space="preserve"> carries FY2023 through FY2025, and the two agree exactly in the overlap. FY2025 interest is $0.20B, corroborated by an </w:t>
            </w:r>
            <w:proofErr w:type="spellStart"/>
            <w:r>
              <w:rPr>
                <w:sz w:val="20"/>
                <w:szCs w:val="20"/>
              </w:rPr>
              <w:t>InterestPaidNet</w:t>
            </w:r>
            <w:proofErr w:type="spellEnd"/>
            <w:r>
              <w:rPr>
                <w:sz w:val="20"/>
                <w:szCs w:val="20"/>
              </w:rPr>
              <w:t xml:space="preserve"> figure of $0.19B.</w:t>
            </w:r>
          </w:p>
        </w:tc>
      </w:tr>
    </w:tbl>
    <w:p w14:paraId="17B4ED4F" w14:textId="77777777" w:rsidR="00A25A4E" w:rsidRDefault="00A25A4E">
      <w:pPr>
        <w:spacing w:after="120" w:line="276" w:lineRule="auto"/>
      </w:pPr>
    </w:p>
    <w:p w14:paraId="13009DC8" w14:textId="77777777" w:rsidR="00A25A4E" w:rsidRDefault="00000000">
      <w:pPr>
        <w:pStyle w:val="Heading1"/>
        <w:spacing w:before="280" w:after="140"/>
      </w:pPr>
      <w:r>
        <w:rPr>
          <w:b/>
          <w:bCs/>
          <w:color w:val="1F3864"/>
          <w:sz w:val="26"/>
          <w:szCs w:val="26"/>
        </w:rPr>
        <w:t>Operating Assumptions</w:t>
      </w:r>
    </w:p>
    <w:tbl>
      <w:tblPr>
        <w:tblW w:w="9360" w:type="dxa"/>
        <w:tblBorders>
          <w:top w:val="single" w:sz="4" w:space="0" w:color="999999"/>
          <w:bottom w:val="single" w:sz="4" w:space="0" w:color="999999"/>
          <w:insideH w:val="single" w:sz="2" w:space="0" w:color="CCCCCC"/>
        </w:tblBorders>
        <w:tblCellMar>
          <w:left w:w="10" w:type="dxa"/>
          <w:right w:w="10" w:type="dxa"/>
        </w:tblCellMar>
        <w:tblLook w:val="04A0" w:firstRow="1" w:lastRow="0" w:firstColumn="1" w:lastColumn="0" w:noHBand="0" w:noVBand="1"/>
      </w:tblPr>
      <w:tblGrid>
        <w:gridCol w:w="1560"/>
        <w:gridCol w:w="900"/>
        <w:gridCol w:w="900"/>
        <w:gridCol w:w="900"/>
        <w:gridCol w:w="5100"/>
      </w:tblGrid>
      <w:tr w:rsidR="00A25A4E" w14:paraId="10027C86" w14:textId="77777777">
        <w:tblPrEx>
          <w:tblCellMar>
            <w:top w:w="0" w:type="dxa"/>
            <w:bottom w:w="0" w:type="dxa"/>
          </w:tblCellMar>
        </w:tblPrEx>
        <w:trPr>
          <w:tblHeader/>
        </w:trPr>
        <w:tc>
          <w:tcPr>
            <w:tcW w:w="1560" w:type="dxa"/>
            <w:shd w:val="clear" w:color="auto" w:fill="EDF1F7"/>
            <w:tcMar>
              <w:top w:w="60" w:type="dxa"/>
              <w:left w:w="90" w:type="dxa"/>
              <w:bottom w:w="60" w:type="dxa"/>
              <w:right w:w="90" w:type="dxa"/>
            </w:tcMar>
          </w:tcPr>
          <w:p w14:paraId="19B1D055" w14:textId="77777777" w:rsidR="00A25A4E" w:rsidRDefault="00000000">
            <w:r>
              <w:rPr>
                <w:b/>
                <w:bCs/>
                <w:sz w:val="20"/>
                <w:szCs w:val="20"/>
              </w:rPr>
              <w:t>Assumption</w:t>
            </w:r>
          </w:p>
        </w:tc>
        <w:tc>
          <w:tcPr>
            <w:tcW w:w="900" w:type="dxa"/>
            <w:shd w:val="clear" w:color="auto" w:fill="EDF1F7"/>
            <w:tcMar>
              <w:top w:w="60" w:type="dxa"/>
              <w:left w:w="90" w:type="dxa"/>
              <w:bottom w:w="60" w:type="dxa"/>
              <w:right w:w="90" w:type="dxa"/>
            </w:tcMar>
          </w:tcPr>
          <w:p w14:paraId="55921C14" w14:textId="77777777" w:rsidR="00A25A4E" w:rsidRDefault="00000000">
            <w:r>
              <w:rPr>
                <w:b/>
                <w:bCs/>
                <w:sz w:val="20"/>
                <w:szCs w:val="20"/>
              </w:rPr>
              <w:t>Bear</w:t>
            </w:r>
          </w:p>
        </w:tc>
        <w:tc>
          <w:tcPr>
            <w:tcW w:w="900" w:type="dxa"/>
            <w:shd w:val="clear" w:color="auto" w:fill="EDF1F7"/>
            <w:tcMar>
              <w:top w:w="60" w:type="dxa"/>
              <w:left w:w="90" w:type="dxa"/>
              <w:bottom w:w="60" w:type="dxa"/>
              <w:right w:w="90" w:type="dxa"/>
            </w:tcMar>
          </w:tcPr>
          <w:p w14:paraId="614C04E1" w14:textId="77777777" w:rsidR="00A25A4E" w:rsidRDefault="00000000">
            <w:r>
              <w:rPr>
                <w:b/>
                <w:bCs/>
                <w:sz w:val="20"/>
                <w:szCs w:val="20"/>
              </w:rPr>
              <w:t>Base</w:t>
            </w:r>
          </w:p>
        </w:tc>
        <w:tc>
          <w:tcPr>
            <w:tcW w:w="900" w:type="dxa"/>
            <w:shd w:val="clear" w:color="auto" w:fill="EDF1F7"/>
            <w:tcMar>
              <w:top w:w="60" w:type="dxa"/>
              <w:left w:w="90" w:type="dxa"/>
              <w:bottom w:w="60" w:type="dxa"/>
              <w:right w:w="90" w:type="dxa"/>
            </w:tcMar>
          </w:tcPr>
          <w:p w14:paraId="3C640EDE" w14:textId="77777777" w:rsidR="00A25A4E" w:rsidRDefault="00000000">
            <w:r>
              <w:rPr>
                <w:b/>
                <w:bCs/>
                <w:sz w:val="20"/>
                <w:szCs w:val="20"/>
              </w:rPr>
              <w:t>Bull</w:t>
            </w:r>
          </w:p>
        </w:tc>
        <w:tc>
          <w:tcPr>
            <w:tcW w:w="5100" w:type="dxa"/>
            <w:shd w:val="clear" w:color="auto" w:fill="EDF1F7"/>
            <w:tcMar>
              <w:top w:w="60" w:type="dxa"/>
              <w:left w:w="90" w:type="dxa"/>
              <w:bottom w:w="60" w:type="dxa"/>
              <w:right w:w="90" w:type="dxa"/>
            </w:tcMar>
          </w:tcPr>
          <w:p w14:paraId="659B4066" w14:textId="77777777" w:rsidR="00A25A4E" w:rsidRDefault="00000000">
            <w:r>
              <w:rPr>
                <w:b/>
                <w:bCs/>
                <w:sz w:val="20"/>
                <w:szCs w:val="20"/>
              </w:rPr>
              <w:t>Source</w:t>
            </w:r>
          </w:p>
        </w:tc>
      </w:tr>
      <w:tr w:rsidR="00A25A4E" w14:paraId="771A756E" w14:textId="77777777">
        <w:tblPrEx>
          <w:tblCellMar>
            <w:top w:w="0" w:type="dxa"/>
            <w:bottom w:w="0" w:type="dxa"/>
          </w:tblCellMar>
        </w:tblPrEx>
        <w:tc>
          <w:tcPr>
            <w:tcW w:w="1560" w:type="dxa"/>
            <w:tcMar>
              <w:top w:w="60" w:type="dxa"/>
              <w:left w:w="90" w:type="dxa"/>
              <w:bottom w:w="60" w:type="dxa"/>
              <w:right w:w="90" w:type="dxa"/>
            </w:tcMar>
          </w:tcPr>
          <w:p w14:paraId="4A6FD0A2" w14:textId="77777777" w:rsidR="00A25A4E" w:rsidRDefault="00000000">
            <w:r>
              <w:rPr>
                <w:sz w:val="20"/>
                <w:szCs w:val="20"/>
              </w:rPr>
              <w:t>Revenue growth</w:t>
            </w:r>
          </w:p>
        </w:tc>
        <w:tc>
          <w:tcPr>
            <w:tcW w:w="900" w:type="dxa"/>
            <w:tcMar>
              <w:top w:w="60" w:type="dxa"/>
              <w:left w:w="90" w:type="dxa"/>
              <w:bottom w:w="60" w:type="dxa"/>
              <w:right w:w="90" w:type="dxa"/>
            </w:tcMar>
          </w:tcPr>
          <w:p w14:paraId="3EA3BA48" w14:textId="77777777" w:rsidR="00A25A4E" w:rsidRDefault="00000000">
            <w:r>
              <w:rPr>
                <w:sz w:val="20"/>
                <w:szCs w:val="20"/>
              </w:rPr>
              <w:t>1% to 0%</w:t>
            </w:r>
          </w:p>
        </w:tc>
        <w:tc>
          <w:tcPr>
            <w:tcW w:w="900" w:type="dxa"/>
            <w:tcMar>
              <w:top w:w="60" w:type="dxa"/>
              <w:left w:w="90" w:type="dxa"/>
              <w:bottom w:w="60" w:type="dxa"/>
              <w:right w:w="90" w:type="dxa"/>
            </w:tcMar>
          </w:tcPr>
          <w:p w14:paraId="2A2E376C" w14:textId="77777777" w:rsidR="00A25A4E" w:rsidRDefault="00000000">
            <w:r>
              <w:rPr>
                <w:sz w:val="20"/>
                <w:szCs w:val="20"/>
              </w:rPr>
              <w:t>6% to 4%</w:t>
            </w:r>
          </w:p>
        </w:tc>
        <w:tc>
          <w:tcPr>
            <w:tcW w:w="900" w:type="dxa"/>
            <w:tcMar>
              <w:top w:w="60" w:type="dxa"/>
              <w:left w:w="90" w:type="dxa"/>
              <w:bottom w:w="60" w:type="dxa"/>
              <w:right w:w="90" w:type="dxa"/>
            </w:tcMar>
          </w:tcPr>
          <w:p w14:paraId="4A10E6DA" w14:textId="77777777" w:rsidR="00A25A4E" w:rsidRDefault="00000000">
            <w:r>
              <w:rPr>
                <w:sz w:val="20"/>
                <w:szCs w:val="20"/>
              </w:rPr>
              <w:t>10% to 6%</w:t>
            </w:r>
          </w:p>
        </w:tc>
        <w:tc>
          <w:tcPr>
            <w:tcW w:w="5100" w:type="dxa"/>
            <w:tcMar>
              <w:top w:w="60" w:type="dxa"/>
              <w:left w:w="90" w:type="dxa"/>
              <w:bottom w:w="60" w:type="dxa"/>
              <w:right w:w="90" w:type="dxa"/>
            </w:tcMar>
          </w:tcPr>
          <w:p w14:paraId="05751104" w14:textId="77777777" w:rsidR="00A25A4E" w:rsidRDefault="00000000">
            <w:r>
              <w:rPr>
                <w:sz w:val="20"/>
                <w:szCs w:val="20"/>
              </w:rPr>
              <w:t xml:space="preserve">Base follows consensus of $3.44B for 2026, a 6.4% improvement </w:t>
            </w:r>
            <w:proofErr w:type="gramStart"/>
            <w:r>
              <w:rPr>
                <w:sz w:val="20"/>
                <w:szCs w:val="20"/>
              </w:rPr>
              <w:t>on</w:t>
            </w:r>
            <w:proofErr w:type="gramEnd"/>
            <w:r>
              <w:rPr>
                <w:sz w:val="20"/>
                <w:szCs w:val="20"/>
              </w:rPr>
              <w:t xml:space="preserve"> the last twelve months, with analysts forecasting 8.6% annualized growth to end-2026 against 8.0% over the past five years. Q1 2026 grew 5.0% year over year and Q2 is guided to $815M to $845M. Bear is the Goldman case, which holds a Sell rating and wants clearer evidence of a sustained cyclical upturn in the capex business. Bull reflects advanced logic at roughly 40% of revenue and leading-edge compute demand, consistent with the BMO and Citi targets of $148 and $155.</w:t>
            </w:r>
          </w:p>
        </w:tc>
      </w:tr>
      <w:tr w:rsidR="00A25A4E" w14:paraId="0584F5F6" w14:textId="77777777">
        <w:tblPrEx>
          <w:tblCellMar>
            <w:top w:w="0" w:type="dxa"/>
            <w:bottom w:w="0" w:type="dxa"/>
          </w:tblCellMar>
        </w:tblPrEx>
        <w:tc>
          <w:tcPr>
            <w:tcW w:w="1560" w:type="dxa"/>
            <w:tcMar>
              <w:top w:w="60" w:type="dxa"/>
              <w:left w:w="90" w:type="dxa"/>
              <w:bottom w:w="60" w:type="dxa"/>
              <w:right w:w="90" w:type="dxa"/>
            </w:tcMar>
          </w:tcPr>
          <w:p w14:paraId="4D17F8E4" w14:textId="77777777" w:rsidR="00A25A4E" w:rsidRDefault="00000000">
            <w:r>
              <w:rPr>
                <w:sz w:val="20"/>
                <w:szCs w:val="20"/>
              </w:rPr>
              <w:t>Operating margin</w:t>
            </w:r>
          </w:p>
        </w:tc>
        <w:tc>
          <w:tcPr>
            <w:tcW w:w="900" w:type="dxa"/>
            <w:tcMar>
              <w:top w:w="60" w:type="dxa"/>
              <w:left w:w="90" w:type="dxa"/>
              <w:bottom w:w="60" w:type="dxa"/>
              <w:right w:w="90" w:type="dxa"/>
            </w:tcMar>
          </w:tcPr>
          <w:p w14:paraId="2BB42D74" w14:textId="77777777" w:rsidR="00A25A4E" w:rsidRDefault="00000000">
            <w:r>
              <w:rPr>
                <w:sz w:val="20"/>
                <w:szCs w:val="20"/>
              </w:rPr>
              <w:t>14% to 15%</w:t>
            </w:r>
          </w:p>
        </w:tc>
        <w:tc>
          <w:tcPr>
            <w:tcW w:w="900" w:type="dxa"/>
            <w:tcMar>
              <w:top w:w="60" w:type="dxa"/>
              <w:left w:w="90" w:type="dxa"/>
              <w:bottom w:w="60" w:type="dxa"/>
              <w:right w:w="90" w:type="dxa"/>
            </w:tcMar>
          </w:tcPr>
          <w:p w14:paraId="3A4080D3" w14:textId="77777777" w:rsidR="00A25A4E" w:rsidRDefault="00000000">
            <w:r>
              <w:rPr>
                <w:sz w:val="20"/>
                <w:szCs w:val="20"/>
              </w:rPr>
              <w:t>17% to 21%</w:t>
            </w:r>
          </w:p>
        </w:tc>
        <w:tc>
          <w:tcPr>
            <w:tcW w:w="900" w:type="dxa"/>
            <w:tcMar>
              <w:top w:w="60" w:type="dxa"/>
              <w:left w:w="90" w:type="dxa"/>
              <w:bottom w:w="60" w:type="dxa"/>
              <w:right w:w="90" w:type="dxa"/>
            </w:tcMar>
          </w:tcPr>
          <w:p w14:paraId="579AF5A5" w14:textId="77777777" w:rsidR="00A25A4E" w:rsidRDefault="00000000">
            <w:r>
              <w:rPr>
                <w:sz w:val="20"/>
                <w:szCs w:val="20"/>
              </w:rPr>
              <w:t>18% to 23%</w:t>
            </w:r>
          </w:p>
        </w:tc>
        <w:tc>
          <w:tcPr>
            <w:tcW w:w="5100" w:type="dxa"/>
            <w:tcMar>
              <w:top w:w="60" w:type="dxa"/>
              <w:left w:w="90" w:type="dxa"/>
              <w:bottom w:w="60" w:type="dxa"/>
              <w:right w:w="90" w:type="dxa"/>
            </w:tcMar>
          </w:tcPr>
          <w:p w14:paraId="6ECE905B" w14:textId="77777777" w:rsidR="00A25A4E" w:rsidRDefault="00000000">
            <w:r>
              <w:rPr>
                <w:sz w:val="20"/>
                <w:szCs w:val="20"/>
              </w:rPr>
              <w:t xml:space="preserve">FY2025's 14.3% is a cycle trough, below FY2024's 16.5%, and Q1 2026 printed 17.4%. Holding it flat would capitalize the trough, which is the error I flagged in TXN. The ramp reflects operating leverage on a fixed cost base plus CMC purchase-accounting amortization rolling off, which lifts </w:t>
            </w:r>
            <w:r>
              <w:rPr>
                <w:sz w:val="20"/>
                <w:szCs w:val="20"/>
              </w:rPr>
              <w:lastRenderedPageBreak/>
              <w:t>GAAP margin mechanically. The bull path tops out at 23%, below the 23.6% adjusted operating margin ENTG reported in Q1 2026.</w:t>
            </w:r>
          </w:p>
        </w:tc>
      </w:tr>
      <w:tr w:rsidR="00A25A4E" w14:paraId="18958242" w14:textId="77777777">
        <w:tblPrEx>
          <w:tblCellMar>
            <w:top w:w="0" w:type="dxa"/>
            <w:bottom w:w="0" w:type="dxa"/>
          </w:tblCellMar>
        </w:tblPrEx>
        <w:tc>
          <w:tcPr>
            <w:tcW w:w="1560" w:type="dxa"/>
            <w:tcMar>
              <w:top w:w="60" w:type="dxa"/>
              <w:left w:w="90" w:type="dxa"/>
              <w:bottom w:w="60" w:type="dxa"/>
              <w:right w:w="90" w:type="dxa"/>
            </w:tcMar>
          </w:tcPr>
          <w:p w14:paraId="58DC9E6E" w14:textId="77777777" w:rsidR="00A25A4E" w:rsidRDefault="00000000">
            <w:r>
              <w:rPr>
                <w:sz w:val="20"/>
                <w:szCs w:val="20"/>
              </w:rPr>
              <w:lastRenderedPageBreak/>
              <w:t>Tax rate</w:t>
            </w:r>
          </w:p>
        </w:tc>
        <w:tc>
          <w:tcPr>
            <w:tcW w:w="900" w:type="dxa"/>
            <w:tcMar>
              <w:top w:w="60" w:type="dxa"/>
              <w:left w:w="90" w:type="dxa"/>
              <w:bottom w:w="60" w:type="dxa"/>
              <w:right w:w="90" w:type="dxa"/>
            </w:tcMar>
          </w:tcPr>
          <w:p w14:paraId="22B6C76A" w14:textId="77777777" w:rsidR="00A25A4E" w:rsidRDefault="00000000">
            <w:r>
              <w:rPr>
                <w:sz w:val="20"/>
                <w:szCs w:val="20"/>
              </w:rPr>
              <w:t>14%</w:t>
            </w:r>
          </w:p>
        </w:tc>
        <w:tc>
          <w:tcPr>
            <w:tcW w:w="900" w:type="dxa"/>
            <w:tcMar>
              <w:top w:w="60" w:type="dxa"/>
              <w:left w:w="90" w:type="dxa"/>
              <w:bottom w:w="60" w:type="dxa"/>
              <w:right w:w="90" w:type="dxa"/>
            </w:tcMar>
          </w:tcPr>
          <w:p w14:paraId="590D0519" w14:textId="77777777" w:rsidR="00A25A4E" w:rsidRDefault="00000000">
            <w:r>
              <w:rPr>
                <w:sz w:val="20"/>
                <w:szCs w:val="20"/>
              </w:rPr>
              <w:t>14%</w:t>
            </w:r>
          </w:p>
        </w:tc>
        <w:tc>
          <w:tcPr>
            <w:tcW w:w="900" w:type="dxa"/>
            <w:tcMar>
              <w:top w:w="60" w:type="dxa"/>
              <w:left w:w="90" w:type="dxa"/>
              <w:bottom w:w="60" w:type="dxa"/>
              <w:right w:w="90" w:type="dxa"/>
            </w:tcMar>
          </w:tcPr>
          <w:p w14:paraId="638976E2" w14:textId="77777777" w:rsidR="00A25A4E" w:rsidRDefault="00000000">
            <w:r>
              <w:rPr>
                <w:sz w:val="20"/>
                <w:szCs w:val="20"/>
              </w:rPr>
              <w:t>14%</w:t>
            </w:r>
          </w:p>
        </w:tc>
        <w:tc>
          <w:tcPr>
            <w:tcW w:w="5100" w:type="dxa"/>
            <w:tcMar>
              <w:top w:w="60" w:type="dxa"/>
              <w:left w:w="90" w:type="dxa"/>
              <w:bottom w:w="60" w:type="dxa"/>
              <w:right w:w="90" w:type="dxa"/>
            </w:tcMar>
          </w:tcPr>
          <w:p w14:paraId="2BA29E09" w14:textId="77777777" w:rsidR="00A25A4E" w:rsidRDefault="00000000">
            <w:r>
              <w:rPr>
                <w:sz w:val="20"/>
                <w:szCs w:val="20"/>
              </w:rPr>
              <w:t>Unlevered rate derived by adding the interest shield back to reported tax at 21%, then averaging across four years. Not the reported effective rate.</w:t>
            </w:r>
          </w:p>
        </w:tc>
      </w:tr>
      <w:tr w:rsidR="00A25A4E" w14:paraId="44EF36C3" w14:textId="77777777">
        <w:tblPrEx>
          <w:tblCellMar>
            <w:top w:w="0" w:type="dxa"/>
            <w:bottom w:w="0" w:type="dxa"/>
          </w:tblCellMar>
        </w:tblPrEx>
        <w:tc>
          <w:tcPr>
            <w:tcW w:w="1560" w:type="dxa"/>
            <w:tcMar>
              <w:top w:w="60" w:type="dxa"/>
              <w:left w:w="90" w:type="dxa"/>
              <w:bottom w:w="60" w:type="dxa"/>
              <w:right w:w="90" w:type="dxa"/>
            </w:tcMar>
          </w:tcPr>
          <w:p w14:paraId="3AB2E04A" w14:textId="77777777" w:rsidR="00A25A4E" w:rsidRDefault="00000000">
            <w:r>
              <w:rPr>
                <w:sz w:val="20"/>
                <w:szCs w:val="20"/>
              </w:rPr>
              <w:t>Capex % of revenue</w:t>
            </w:r>
          </w:p>
        </w:tc>
        <w:tc>
          <w:tcPr>
            <w:tcW w:w="900" w:type="dxa"/>
            <w:tcMar>
              <w:top w:w="60" w:type="dxa"/>
              <w:left w:w="90" w:type="dxa"/>
              <w:bottom w:w="60" w:type="dxa"/>
              <w:right w:w="90" w:type="dxa"/>
            </w:tcMar>
          </w:tcPr>
          <w:p w14:paraId="7B534734" w14:textId="77777777" w:rsidR="00A25A4E" w:rsidRDefault="00000000">
            <w:r>
              <w:rPr>
                <w:sz w:val="20"/>
                <w:szCs w:val="20"/>
              </w:rPr>
              <w:t>8% to 6%</w:t>
            </w:r>
          </w:p>
        </w:tc>
        <w:tc>
          <w:tcPr>
            <w:tcW w:w="900" w:type="dxa"/>
            <w:tcMar>
              <w:top w:w="60" w:type="dxa"/>
              <w:left w:w="90" w:type="dxa"/>
              <w:bottom w:w="60" w:type="dxa"/>
              <w:right w:w="90" w:type="dxa"/>
            </w:tcMar>
          </w:tcPr>
          <w:p w14:paraId="44DF8B4E" w14:textId="77777777" w:rsidR="00A25A4E" w:rsidRDefault="00000000">
            <w:r>
              <w:rPr>
                <w:sz w:val="20"/>
                <w:szCs w:val="20"/>
              </w:rPr>
              <w:t>8% to 6%</w:t>
            </w:r>
          </w:p>
        </w:tc>
        <w:tc>
          <w:tcPr>
            <w:tcW w:w="900" w:type="dxa"/>
            <w:tcMar>
              <w:top w:w="60" w:type="dxa"/>
              <w:left w:w="90" w:type="dxa"/>
              <w:bottom w:w="60" w:type="dxa"/>
              <w:right w:w="90" w:type="dxa"/>
            </w:tcMar>
          </w:tcPr>
          <w:p w14:paraId="4EEFFB16" w14:textId="77777777" w:rsidR="00A25A4E" w:rsidRDefault="00000000">
            <w:r>
              <w:rPr>
                <w:sz w:val="20"/>
                <w:szCs w:val="20"/>
              </w:rPr>
              <w:t>8% to 6%</w:t>
            </w:r>
          </w:p>
        </w:tc>
        <w:tc>
          <w:tcPr>
            <w:tcW w:w="5100" w:type="dxa"/>
            <w:tcMar>
              <w:top w:w="60" w:type="dxa"/>
              <w:left w:w="90" w:type="dxa"/>
              <w:bottom w:w="60" w:type="dxa"/>
              <w:right w:w="90" w:type="dxa"/>
            </w:tcMar>
          </w:tcPr>
          <w:p w14:paraId="67806D55" w14:textId="77777777" w:rsidR="00A25A4E" w:rsidRDefault="00000000">
            <w:r>
              <w:rPr>
                <w:sz w:val="20"/>
                <w:szCs w:val="20"/>
              </w:rPr>
              <w:t>Capex has run 14.2%, 13.0%, 9.7%, and 9.4% of revenue as the CMC-era buildout completed, while depreciation has climbed from 0.14B to 0.21B. Capex over depreciation has fallen 3.44x, 2.65x, 1.68x, 1.46x. The two converge in a steady state, so terminal capex trends toward depreciation at roughly 6.6% of revenue rather than holding at today's level.</w:t>
            </w:r>
          </w:p>
        </w:tc>
      </w:tr>
      <w:tr w:rsidR="00A25A4E" w14:paraId="5A2ABFBB" w14:textId="77777777">
        <w:tblPrEx>
          <w:tblCellMar>
            <w:top w:w="0" w:type="dxa"/>
            <w:bottom w:w="0" w:type="dxa"/>
          </w:tblCellMar>
        </w:tblPrEx>
        <w:tc>
          <w:tcPr>
            <w:tcW w:w="1560" w:type="dxa"/>
            <w:tcMar>
              <w:top w:w="60" w:type="dxa"/>
              <w:left w:w="90" w:type="dxa"/>
              <w:bottom w:w="60" w:type="dxa"/>
              <w:right w:w="90" w:type="dxa"/>
            </w:tcMar>
          </w:tcPr>
          <w:p w14:paraId="2814AB5C" w14:textId="77777777" w:rsidR="00A25A4E" w:rsidRDefault="00000000">
            <w:r>
              <w:rPr>
                <w:sz w:val="20"/>
                <w:szCs w:val="20"/>
              </w:rPr>
              <w:t>D&amp;A % of revenue</w:t>
            </w:r>
          </w:p>
        </w:tc>
        <w:tc>
          <w:tcPr>
            <w:tcW w:w="900" w:type="dxa"/>
            <w:tcMar>
              <w:top w:w="60" w:type="dxa"/>
              <w:left w:w="90" w:type="dxa"/>
              <w:bottom w:w="60" w:type="dxa"/>
              <w:right w:w="90" w:type="dxa"/>
            </w:tcMar>
          </w:tcPr>
          <w:p w14:paraId="3BFEBE11" w14:textId="77777777" w:rsidR="00A25A4E" w:rsidRDefault="00000000">
            <w:r>
              <w:rPr>
                <w:sz w:val="20"/>
                <w:szCs w:val="20"/>
              </w:rPr>
              <w:t>12.2%</w:t>
            </w:r>
          </w:p>
        </w:tc>
        <w:tc>
          <w:tcPr>
            <w:tcW w:w="900" w:type="dxa"/>
            <w:tcMar>
              <w:top w:w="60" w:type="dxa"/>
              <w:left w:w="90" w:type="dxa"/>
              <w:bottom w:w="60" w:type="dxa"/>
              <w:right w:w="90" w:type="dxa"/>
            </w:tcMar>
          </w:tcPr>
          <w:p w14:paraId="36CE5D41" w14:textId="77777777" w:rsidR="00A25A4E" w:rsidRDefault="00000000">
            <w:r>
              <w:rPr>
                <w:sz w:val="20"/>
                <w:szCs w:val="20"/>
              </w:rPr>
              <w:t>12.2%</w:t>
            </w:r>
          </w:p>
        </w:tc>
        <w:tc>
          <w:tcPr>
            <w:tcW w:w="900" w:type="dxa"/>
            <w:tcMar>
              <w:top w:w="60" w:type="dxa"/>
              <w:left w:w="90" w:type="dxa"/>
              <w:bottom w:w="60" w:type="dxa"/>
              <w:right w:w="90" w:type="dxa"/>
            </w:tcMar>
          </w:tcPr>
          <w:p w14:paraId="25DC609B" w14:textId="77777777" w:rsidR="00A25A4E" w:rsidRDefault="00000000">
            <w:r>
              <w:rPr>
                <w:sz w:val="20"/>
                <w:szCs w:val="20"/>
              </w:rPr>
              <w:t>12.2%</w:t>
            </w:r>
          </w:p>
        </w:tc>
        <w:tc>
          <w:tcPr>
            <w:tcW w:w="5100" w:type="dxa"/>
            <w:tcMar>
              <w:top w:w="60" w:type="dxa"/>
              <w:left w:w="90" w:type="dxa"/>
              <w:bottom w:w="60" w:type="dxa"/>
              <w:right w:w="90" w:type="dxa"/>
            </w:tcMar>
          </w:tcPr>
          <w:p w14:paraId="1272D38F" w14:textId="77777777" w:rsidR="00A25A4E" w:rsidRDefault="00000000">
            <w:r>
              <w:rPr>
                <w:sz w:val="20"/>
                <w:szCs w:val="20"/>
              </w:rPr>
              <w:t>FY2025 actual ($0.39B / $3.20B). Roughly half of this is amortization of acquired intangibles rather than depreciation of PP&amp;E, which is why capex below total D&amp;A is not evidence of underinvestment here.</w:t>
            </w:r>
          </w:p>
        </w:tc>
      </w:tr>
      <w:tr w:rsidR="00A25A4E" w14:paraId="7413191F" w14:textId="77777777">
        <w:tblPrEx>
          <w:tblCellMar>
            <w:top w:w="0" w:type="dxa"/>
            <w:bottom w:w="0" w:type="dxa"/>
          </w:tblCellMar>
        </w:tblPrEx>
        <w:tc>
          <w:tcPr>
            <w:tcW w:w="1560" w:type="dxa"/>
            <w:tcMar>
              <w:top w:w="60" w:type="dxa"/>
              <w:left w:w="90" w:type="dxa"/>
              <w:bottom w:w="60" w:type="dxa"/>
              <w:right w:w="90" w:type="dxa"/>
            </w:tcMar>
          </w:tcPr>
          <w:p w14:paraId="350A5E46" w14:textId="77777777" w:rsidR="00A25A4E" w:rsidRDefault="00000000">
            <w:r>
              <w:rPr>
                <w:sz w:val="20"/>
                <w:szCs w:val="20"/>
              </w:rPr>
              <w:t>NWC % of revenue</w:t>
            </w:r>
          </w:p>
        </w:tc>
        <w:tc>
          <w:tcPr>
            <w:tcW w:w="900" w:type="dxa"/>
            <w:tcMar>
              <w:top w:w="60" w:type="dxa"/>
              <w:left w:w="90" w:type="dxa"/>
              <w:bottom w:w="60" w:type="dxa"/>
              <w:right w:w="90" w:type="dxa"/>
            </w:tcMar>
          </w:tcPr>
          <w:p w14:paraId="69CF6823" w14:textId="77777777" w:rsidR="00A25A4E" w:rsidRDefault="00000000">
            <w:r>
              <w:rPr>
                <w:sz w:val="20"/>
                <w:szCs w:val="20"/>
              </w:rPr>
              <w:t>26.9%</w:t>
            </w:r>
          </w:p>
        </w:tc>
        <w:tc>
          <w:tcPr>
            <w:tcW w:w="900" w:type="dxa"/>
            <w:tcMar>
              <w:top w:w="60" w:type="dxa"/>
              <w:left w:w="90" w:type="dxa"/>
              <w:bottom w:w="60" w:type="dxa"/>
              <w:right w:w="90" w:type="dxa"/>
            </w:tcMar>
          </w:tcPr>
          <w:p w14:paraId="54DAF635" w14:textId="77777777" w:rsidR="00A25A4E" w:rsidRDefault="00000000">
            <w:r>
              <w:rPr>
                <w:sz w:val="20"/>
                <w:szCs w:val="20"/>
              </w:rPr>
              <w:t>26.9%</w:t>
            </w:r>
          </w:p>
        </w:tc>
        <w:tc>
          <w:tcPr>
            <w:tcW w:w="900" w:type="dxa"/>
            <w:tcMar>
              <w:top w:w="60" w:type="dxa"/>
              <w:left w:w="90" w:type="dxa"/>
              <w:bottom w:w="60" w:type="dxa"/>
              <w:right w:w="90" w:type="dxa"/>
            </w:tcMar>
          </w:tcPr>
          <w:p w14:paraId="6F2433E1" w14:textId="77777777" w:rsidR="00A25A4E" w:rsidRDefault="00000000">
            <w:r>
              <w:rPr>
                <w:sz w:val="20"/>
                <w:szCs w:val="20"/>
              </w:rPr>
              <w:t>26.9%</w:t>
            </w:r>
          </w:p>
        </w:tc>
        <w:tc>
          <w:tcPr>
            <w:tcW w:w="5100" w:type="dxa"/>
            <w:tcMar>
              <w:top w:w="60" w:type="dxa"/>
              <w:left w:w="90" w:type="dxa"/>
              <w:bottom w:w="60" w:type="dxa"/>
              <w:right w:w="90" w:type="dxa"/>
            </w:tcMar>
          </w:tcPr>
          <w:p w14:paraId="5AE73CC4" w14:textId="77777777" w:rsidR="00A25A4E" w:rsidRDefault="00000000">
            <w:r>
              <w:rPr>
                <w:sz w:val="20"/>
                <w:szCs w:val="20"/>
              </w:rPr>
              <w:t>FY2025 actual ($0.86B / $3.20B), against 11.6% for QCOM. A materials supplier carries $0.64B of inventory on a $3.2B revenue base, so growth genuinely consumes cash. Operating NWC excludes cash, short-term debt, and income taxes. ENTG reports accrued income taxes as a separate current liability rather than inside other current liabilities, so the exclusion works differently than it did for QCOM even though the policy is the same.</w:t>
            </w:r>
          </w:p>
        </w:tc>
      </w:tr>
    </w:tbl>
    <w:p w14:paraId="1BB7A603" w14:textId="77777777" w:rsidR="00A25A4E" w:rsidRDefault="00000000">
      <w:pPr>
        <w:spacing w:after="160" w:line="276" w:lineRule="auto"/>
      </w:pPr>
      <w:r>
        <w:t>Free cash flow is unlevered: EBIT, less tax at the derived rate, plus D&amp;A, less capex, less the change in net working capital. The working capital charge keys off the change in revenue rather than its level, so a flat year is working-capital neutral and the bear case releases working capital as growth stalls.</w:t>
      </w:r>
    </w:p>
    <w:p w14:paraId="6F687C5B" w14:textId="77777777" w:rsidR="00A25A4E" w:rsidRDefault="00000000">
      <w:pPr>
        <w:pStyle w:val="Heading1"/>
        <w:spacing w:before="280" w:after="140"/>
      </w:pPr>
      <w:r>
        <w:rPr>
          <w:b/>
          <w:bCs/>
          <w:color w:val="1F3864"/>
          <w:sz w:val="26"/>
          <w:szCs w:val="26"/>
        </w:rPr>
        <w:t>Cost of Capital</w:t>
      </w:r>
    </w:p>
    <w:tbl>
      <w:tblPr>
        <w:tblW w:w="9360" w:type="dxa"/>
        <w:tblBorders>
          <w:top w:val="single" w:sz="4" w:space="0" w:color="999999"/>
          <w:bottom w:val="single" w:sz="4" w:space="0" w:color="999999"/>
          <w:insideH w:val="single" w:sz="2" w:space="0" w:color="CCCCCC"/>
        </w:tblBorders>
        <w:tblCellMar>
          <w:left w:w="10" w:type="dxa"/>
          <w:right w:w="10" w:type="dxa"/>
        </w:tblCellMar>
        <w:tblLook w:val="04A0" w:firstRow="1" w:lastRow="0" w:firstColumn="1" w:lastColumn="0" w:noHBand="0" w:noVBand="1"/>
      </w:tblPr>
      <w:tblGrid>
        <w:gridCol w:w="3400"/>
        <w:gridCol w:w="1500"/>
        <w:gridCol w:w="4460"/>
      </w:tblGrid>
      <w:tr w:rsidR="00A25A4E" w14:paraId="1C06223C" w14:textId="77777777">
        <w:tblPrEx>
          <w:tblCellMar>
            <w:top w:w="0" w:type="dxa"/>
            <w:bottom w:w="0" w:type="dxa"/>
          </w:tblCellMar>
        </w:tblPrEx>
        <w:trPr>
          <w:tblHeader/>
        </w:trPr>
        <w:tc>
          <w:tcPr>
            <w:tcW w:w="3400" w:type="dxa"/>
            <w:shd w:val="clear" w:color="auto" w:fill="EDF1F7"/>
            <w:tcMar>
              <w:top w:w="60" w:type="dxa"/>
              <w:left w:w="90" w:type="dxa"/>
              <w:bottom w:w="60" w:type="dxa"/>
              <w:right w:w="90" w:type="dxa"/>
            </w:tcMar>
          </w:tcPr>
          <w:p w14:paraId="1677A2E7" w14:textId="77777777" w:rsidR="00A25A4E" w:rsidRDefault="00000000">
            <w:r>
              <w:rPr>
                <w:b/>
                <w:bCs/>
                <w:sz w:val="20"/>
                <w:szCs w:val="20"/>
              </w:rPr>
              <w:t>Input</w:t>
            </w:r>
          </w:p>
        </w:tc>
        <w:tc>
          <w:tcPr>
            <w:tcW w:w="1500" w:type="dxa"/>
            <w:shd w:val="clear" w:color="auto" w:fill="EDF1F7"/>
            <w:tcMar>
              <w:top w:w="60" w:type="dxa"/>
              <w:left w:w="90" w:type="dxa"/>
              <w:bottom w:w="60" w:type="dxa"/>
              <w:right w:w="90" w:type="dxa"/>
            </w:tcMar>
          </w:tcPr>
          <w:p w14:paraId="06B12481" w14:textId="77777777" w:rsidR="00A25A4E" w:rsidRDefault="00000000">
            <w:pPr>
              <w:jc w:val="right"/>
            </w:pPr>
            <w:r>
              <w:rPr>
                <w:b/>
                <w:bCs/>
                <w:sz w:val="20"/>
                <w:szCs w:val="20"/>
              </w:rPr>
              <w:t>Value</w:t>
            </w:r>
          </w:p>
        </w:tc>
        <w:tc>
          <w:tcPr>
            <w:tcW w:w="4460" w:type="dxa"/>
            <w:shd w:val="clear" w:color="auto" w:fill="EDF1F7"/>
            <w:tcMar>
              <w:top w:w="60" w:type="dxa"/>
              <w:left w:w="90" w:type="dxa"/>
              <w:bottom w:w="60" w:type="dxa"/>
              <w:right w:w="90" w:type="dxa"/>
            </w:tcMar>
          </w:tcPr>
          <w:p w14:paraId="54D21F43" w14:textId="77777777" w:rsidR="00A25A4E" w:rsidRDefault="00000000">
            <w:pPr>
              <w:jc w:val="right"/>
            </w:pPr>
            <w:r>
              <w:rPr>
                <w:b/>
                <w:bCs/>
                <w:sz w:val="20"/>
                <w:szCs w:val="20"/>
              </w:rPr>
              <w:t>Source</w:t>
            </w:r>
          </w:p>
        </w:tc>
      </w:tr>
      <w:tr w:rsidR="00A25A4E" w14:paraId="126646E7" w14:textId="77777777">
        <w:tblPrEx>
          <w:tblCellMar>
            <w:top w:w="0" w:type="dxa"/>
            <w:bottom w:w="0" w:type="dxa"/>
          </w:tblCellMar>
        </w:tblPrEx>
        <w:tc>
          <w:tcPr>
            <w:tcW w:w="3400" w:type="dxa"/>
            <w:tcMar>
              <w:top w:w="60" w:type="dxa"/>
              <w:left w:w="90" w:type="dxa"/>
              <w:bottom w:w="60" w:type="dxa"/>
              <w:right w:w="90" w:type="dxa"/>
            </w:tcMar>
          </w:tcPr>
          <w:p w14:paraId="325C29EB" w14:textId="77777777" w:rsidR="00A25A4E" w:rsidRDefault="00000000">
            <w:r>
              <w:rPr>
                <w:sz w:val="20"/>
                <w:szCs w:val="20"/>
              </w:rPr>
              <w:t>Risk-free rate</w:t>
            </w:r>
          </w:p>
        </w:tc>
        <w:tc>
          <w:tcPr>
            <w:tcW w:w="1500" w:type="dxa"/>
            <w:tcMar>
              <w:top w:w="60" w:type="dxa"/>
              <w:left w:w="90" w:type="dxa"/>
              <w:bottom w:w="60" w:type="dxa"/>
              <w:right w:w="90" w:type="dxa"/>
            </w:tcMar>
          </w:tcPr>
          <w:p w14:paraId="14C0F936" w14:textId="77777777" w:rsidR="00A25A4E" w:rsidRDefault="00000000">
            <w:pPr>
              <w:jc w:val="right"/>
            </w:pPr>
            <w:r>
              <w:rPr>
                <w:sz w:val="20"/>
                <w:szCs w:val="20"/>
              </w:rPr>
              <w:t>4.55%</w:t>
            </w:r>
          </w:p>
        </w:tc>
        <w:tc>
          <w:tcPr>
            <w:tcW w:w="4460" w:type="dxa"/>
            <w:tcMar>
              <w:top w:w="60" w:type="dxa"/>
              <w:left w:w="90" w:type="dxa"/>
              <w:bottom w:w="60" w:type="dxa"/>
              <w:right w:w="90" w:type="dxa"/>
            </w:tcMar>
          </w:tcPr>
          <w:p w14:paraId="4A25421E" w14:textId="77777777" w:rsidR="00A25A4E" w:rsidRDefault="00000000">
            <w:pPr>
              <w:jc w:val="right"/>
            </w:pPr>
            <w:r>
              <w:rPr>
                <w:sz w:val="20"/>
                <w:szCs w:val="20"/>
              </w:rPr>
              <w:t>US 10-year Treasury, valuation date</w:t>
            </w:r>
          </w:p>
        </w:tc>
      </w:tr>
      <w:tr w:rsidR="00A25A4E" w14:paraId="2805D992" w14:textId="77777777">
        <w:tblPrEx>
          <w:tblCellMar>
            <w:top w:w="0" w:type="dxa"/>
            <w:bottom w:w="0" w:type="dxa"/>
          </w:tblCellMar>
        </w:tblPrEx>
        <w:tc>
          <w:tcPr>
            <w:tcW w:w="3400" w:type="dxa"/>
            <w:tcMar>
              <w:top w:w="60" w:type="dxa"/>
              <w:left w:w="90" w:type="dxa"/>
              <w:bottom w:w="60" w:type="dxa"/>
              <w:right w:w="90" w:type="dxa"/>
            </w:tcMar>
          </w:tcPr>
          <w:p w14:paraId="78BAC2C3" w14:textId="77777777" w:rsidR="00A25A4E" w:rsidRDefault="00000000">
            <w:r>
              <w:rPr>
                <w:sz w:val="20"/>
                <w:szCs w:val="20"/>
              </w:rPr>
              <w:t>Equity risk premium</w:t>
            </w:r>
          </w:p>
        </w:tc>
        <w:tc>
          <w:tcPr>
            <w:tcW w:w="1500" w:type="dxa"/>
            <w:tcMar>
              <w:top w:w="60" w:type="dxa"/>
              <w:left w:w="90" w:type="dxa"/>
              <w:bottom w:w="60" w:type="dxa"/>
              <w:right w:w="90" w:type="dxa"/>
            </w:tcMar>
          </w:tcPr>
          <w:p w14:paraId="2FCEB18B" w14:textId="77777777" w:rsidR="00A25A4E" w:rsidRDefault="00000000">
            <w:pPr>
              <w:jc w:val="right"/>
            </w:pPr>
            <w:r>
              <w:rPr>
                <w:sz w:val="20"/>
                <w:szCs w:val="20"/>
              </w:rPr>
              <w:t>5.00%</w:t>
            </w:r>
          </w:p>
        </w:tc>
        <w:tc>
          <w:tcPr>
            <w:tcW w:w="4460" w:type="dxa"/>
            <w:tcMar>
              <w:top w:w="60" w:type="dxa"/>
              <w:left w:w="90" w:type="dxa"/>
              <w:bottom w:w="60" w:type="dxa"/>
              <w:right w:w="90" w:type="dxa"/>
            </w:tcMar>
          </w:tcPr>
          <w:p w14:paraId="277E0155" w14:textId="77777777" w:rsidR="00A25A4E" w:rsidRDefault="00000000">
            <w:pPr>
              <w:jc w:val="right"/>
            </w:pPr>
            <w:r>
              <w:rPr>
                <w:sz w:val="20"/>
                <w:szCs w:val="20"/>
              </w:rPr>
              <w:t>Damodaran implied ERP</w:t>
            </w:r>
          </w:p>
        </w:tc>
      </w:tr>
      <w:tr w:rsidR="00A25A4E" w14:paraId="3BF9B423" w14:textId="77777777">
        <w:tblPrEx>
          <w:tblCellMar>
            <w:top w:w="0" w:type="dxa"/>
            <w:bottom w:w="0" w:type="dxa"/>
          </w:tblCellMar>
        </w:tblPrEx>
        <w:tc>
          <w:tcPr>
            <w:tcW w:w="3400" w:type="dxa"/>
            <w:tcMar>
              <w:top w:w="60" w:type="dxa"/>
              <w:left w:w="90" w:type="dxa"/>
              <w:bottom w:w="60" w:type="dxa"/>
              <w:right w:w="90" w:type="dxa"/>
            </w:tcMar>
          </w:tcPr>
          <w:p w14:paraId="037878A8" w14:textId="77777777" w:rsidR="00A25A4E" w:rsidRDefault="00000000">
            <w:r>
              <w:rPr>
                <w:sz w:val="20"/>
                <w:szCs w:val="20"/>
              </w:rPr>
              <w:t>Beta</w:t>
            </w:r>
          </w:p>
        </w:tc>
        <w:tc>
          <w:tcPr>
            <w:tcW w:w="1500" w:type="dxa"/>
            <w:tcMar>
              <w:top w:w="60" w:type="dxa"/>
              <w:left w:w="90" w:type="dxa"/>
              <w:bottom w:w="60" w:type="dxa"/>
              <w:right w:w="90" w:type="dxa"/>
            </w:tcMar>
          </w:tcPr>
          <w:p w14:paraId="3FB96480" w14:textId="77777777" w:rsidR="00A25A4E" w:rsidRDefault="00000000">
            <w:pPr>
              <w:jc w:val="right"/>
            </w:pPr>
            <w:r>
              <w:rPr>
                <w:sz w:val="20"/>
                <w:szCs w:val="20"/>
              </w:rPr>
              <w:t>1.31</w:t>
            </w:r>
          </w:p>
        </w:tc>
        <w:tc>
          <w:tcPr>
            <w:tcW w:w="4460" w:type="dxa"/>
            <w:tcMar>
              <w:top w:w="60" w:type="dxa"/>
              <w:left w:w="90" w:type="dxa"/>
              <w:bottom w:w="60" w:type="dxa"/>
              <w:right w:w="90" w:type="dxa"/>
            </w:tcMar>
          </w:tcPr>
          <w:p w14:paraId="4651676E" w14:textId="77777777" w:rsidR="00A25A4E" w:rsidRDefault="00000000">
            <w:pPr>
              <w:jc w:val="right"/>
            </w:pPr>
            <w:r>
              <w:rPr>
                <w:sz w:val="20"/>
                <w:szCs w:val="20"/>
              </w:rPr>
              <w:t>5-year monthly, raw</w:t>
            </w:r>
          </w:p>
        </w:tc>
      </w:tr>
      <w:tr w:rsidR="00A25A4E" w14:paraId="6BBF03B3" w14:textId="77777777">
        <w:tblPrEx>
          <w:tblCellMar>
            <w:top w:w="0" w:type="dxa"/>
            <w:bottom w:w="0" w:type="dxa"/>
          </w:tblCellMar>
        </w:tblPrEx>
        <w:tc>
          <w:tcPr>
            <w:tcW w:w="3400" w:type="dxa"/>
            <w:tcMar>
              <w:top w:w="60" w:type="dxa"/>
              <w:left w:w="90" w:type="dxa"/>
              <w:bottom w:w="60" w:type="dxa"/>
              <w:right w:w="90" w:type="dxa"/>
            </w:tcMar>
          </w:tcPr>
          <w:p w14:paraId="75807FFF" w14:textId="77777777" w:rsidR="00A25A4E" w:rsidRDefault="00000000">
            <w:r>
              <w:rPr>
                <w:sz w:val="20"/>
                <w:szCs w:val="20"/>
              </w:rPr>
              <w:t>Cost of equity</w:t>
            </w:r>
          </w:p>
        </w:tc>
        <w:tc>
          <w:tcPr>
            <w:tcW w:w="1500" w:type="dxa"/>
            <w:tcMar>
              <w:top w:w="60" w:type="dxa"/>
              <w:left w:w="90" w:type="dxa"/>
              <w:bottom w:w="60" w:type="dxa"/>
              <w:right w:w="90" w:type="dxa"/>
            </w:tcMar>
          </w:tcPr>
          <w:p w14:paraId="5DBB5F4F" w14:textId="77777777" w:rsidR="00A25A4E" w:rsidRDefault="00000000">
            <w:pPr>
              <w:jc w:val="right"/>
            </w:pPr>
            <w:r>
              <w:rPr>
                <w:sz w:val="20"/>
                <w:szCs w:val="20"/>
              </w:rPr>
              <w:t>11.10%</w:t>
            </w:r>
          </w:p>
        </w:tc>
        <w:tc>
          <w:tcPr>
            <w:tcW w:w="4460" w:type="dxa"/>
            <w:tcMar>
              <w:top w:w="60" w:type="dxa"/>
              <w:left w:w="90" w:type="dxa"/>
              <w:bottom w:w="60" w:type="dxa"/>
              <w:right w:w="90" w:type="dxa"/>
            </w:tcMar>
          </w:tcPr>
          <w:p w14:paraId="78443555" w14:textId="77777777" w:rsidR="00A25A4E" w:rsidRDefault="00000000">
            <w:pPr>
              <w:jc w:val="right"/>
            </w:pPr>
            <w:r>
              <w:rPr>
                <w:sz w:val="20"/>
                <w:szCs w:val="20"/>
              </w:rPr>
              <w:t>CAPM</w:t>
            </w:r>
          </w:p>
        </w:tc>
      </w:tr>
      <w:tr w:rsidR="00A25A4E" w14:paraId="1A9A53D1" w14:textId="77777777">
        <w:tblPrEx>
          <w:tblCellMar>
            <w:top w:w="0" w:type="dxa"/>
            <w:bottom w:w="0" w:type="dxa"/>
          </w:tblCellMar>
        </w:tblPrEx>
        <w:tc>
          <w:tcPr>
            <w:tcW w:w="3400" w:type="dxa"/>
            <w:tcMar>
              <w:top w:w="60" w:type="dxa"/>
              <w:left w:w="90" w:type="dxa"/>
              <w:bottom w:w="60" w:type="dxa"/>
              <w:right w:w="90" w:type="dxa"/>
            </w:tcMar>
          </w:tcPr>
          <w:p w14:paraId="19FDD3C1" w14:textId="77777777" w:rsidR="00A25A4E" w:rsidRDefault="00000000">
            <w:r>
              <w:rPr>
                <w:sz w:val="20"/>
                <w:szCs w:val="20"/>
              </w:rPr>
              <w:t>Cost of debt (pre-tax)</w:t>
            </w:r>
          </w:p>
        </w:tc>
        <w:tc>
          <w:tcPr>
            <w:tcW w:w="1500" w:type="dxa"/>
            <w:tcMar>
              <w:top w:w="60" w:type="dxa"/>
              <w:left w:w="90" w:type="dxa"/>
              <w:bottom w:w="60" w:type="dxa"/>
              <w:right w:w="90" w:type="dxa"/>
            </w:tcMar>
          </w:tcPr>
          <w:p w14:paraId="39B151FB" w14:textId="77777777" w:rsidR="00A25A4E" w:rsidRDefault="00000000">
            <w:pPr>
              <w:jc w:val="right"/>
            </w:pPr>
            <w:r>
              <w:rPr>
                <w:sz w:val="20"/>
                <w:szCs w:val="20"/>
              </w:rPr>
              <w:t>5.18%</w:t>
            </w:r>
          </w:p>
        </w:tc>
        <w:tc>
          <w:tcPr>
            <w:tcW w:w="4460" w:type="dxa"/>
            <w:tcMar>
              <w:top w:w="60" w:type="dxa"/>
              <w:left w:w="90" w:type="dxa"/>
              <w:bottom w:w="60" w:type="dxa"/>
              <w:right w:w="90" w:type="dxa"/>
            </w:tcMar>
          </w:tcPr>
          <w:p w14:paraId="62A2CCDE" w14:textId="77777777" w:rsidR="00A25A4E" w:rsidRDefault="00000000">
            <w:pPr>
              <w:jc w:val="right"/>
            </w:pPr>
            <w:r>
              <w:rPr>
                <w:sz w:val="20"/>
                <w:szCs w:val="20"/>
              </w:rPr>
              <w:t>Interest expense / average total debt</w:t>
            </w:r>
          </w:p>
        </w:tc>
      </w:tr>
      <w:tr w:rsidR="00A25A4E" w14:paraId="6C42B477" w14:textId="77777777">
        <w:tblPrEx>
          <w:tblCellMar>
            <w:top w:w="0" w:type="dxa"/>
            <w:bottom w:w="0" w:type="dxa"/>
          </w:tblCellMar>
        </w:tblPrEx>
        <w:tc>
          <w:tcPr>
            <w:tcW w:w="3400" w:type="dxa"/>
            <w:tcMar>
              <w:top w:w="60" w:type="dxa"/>
              <w:left w:w="90" w:type="dxa"/>
              <w:bottom w:w="60" w:type="dxa"/>
              <w:right w:w="90" w:type="dxa"/>
            </w:tcMar>
          </w:tcPr>
          <w:p w14:paraId="2D8E335F" w14:textId="77777777" w:rsidR="00A25A4E" w:rsidRDefault="00000000">
            <w:r>
              <w:rPr>
                <w:sz w:val="20"/>
                <w:szCs w:val="20"/>
              </w:rPr>
              <w:t>Cost of debt (after-tax)</w:t>
            </w:r>
          </w:p>
        </w:tc>
        <w:tc>
          <w:tcPr>
            <w:tcW w:w="1500" w:type="dxa"/>
            <w:tcMar>
              <w:top w:w="60" w:type="dxa"/>
              <w:left w:w="90" w:type="dxa"/>
              <w:bottom w:w="60" w:type="dxa"/>
              <w:right w:w="90" w:type="dxa"/>
            </w:tcMar>
          </w:tcPr>
          <w:p w14:paraId="43559110" w14:textId="77777777" w:rsidR="00A25A4E" w:rsidRDefault="00000000">
            <w:pPr>
              <w:jc w:val="right"/>
            </w:pPr>
            <w:r>
              <w:rPr>
                <w:sz w:val="20"/>
                <w:szCs w:val="20"/>
              </w:rPr>
              <w:t>4.46%</w:t>
            </w:r>
          </w:p>
        </w:tc>
        <w:tc>
          <w:tcPr>
            <w:tcW w:w="4460" w:type="dxa"/>
            <w:tcMar>
              <w:top w:w="60" w:type="dxa"/>
              <w:left w:w="90" w:type="dxa"/>
              <w:bottom w:w="60" w:type="dxa"/>
              <w:right w:w="90" w:type="dxa"/>
            </w:tcMar>
          </w:tcPr>
          <w:p w14:paraId="44AAEC94" w14:textId="77777777" w:rsidR="00A25A4E" w:rsidRDefault="00000000">
            <w:pPr>
              <w:jc w:val="right"/>
            </w:pPr>
            <w:r>
              <w:rPr>
                <w:sz w:val="20"/>
                <w:szCs w:val="20"/>
              </w:rPr>
              <w:t>At the 14% derived rate</w:t>
            </w:r>
          </w:p>
        </w:tc>
      </w:tr>
      <w:tr w:rsidR="00A25A4E" w14:paraId="6D7F6CB4" w14:textId="77777777">
        <w:tblPrEx>
          <w:tblCellMar>
            <w:top w:w="0" w:type="dxa"/>
            <w:bottom w:w="0" w:type="dxa"/>
          </w:tblCellMar>
        </w:tblPrEx>
        <w:tc>
          <w:tcPr>
            <w:tcW w:w="3400" w:type="dxa"/>
            <w:tcMar>
              <w:top w:w="60" w:type="dxa"/>
              <w:left w:w="90" w:type="dxa"/>
              <w:bottom w:w="60" w:type="dxa"/>
              <w:right w:w="90" w:type="dxa"/>
            </w:tcMar>
          </w:tcPr>
          <w:p w14:paraId="56123D1A" w14:textId="77777777" w:rsidR="00A25A4E" w:rsidRDefault="00000000">
            <w:r>
              <w:rPr>
                <w:sz w:val="20"/>
                <w:szCs w:val="20"/>
              </w:rPr>
              <w:t>Equity / debt weight</w:t>
            </w:r>
          </w:p>
        </w:tc>
        <w:tc>
          <w:tcPr>
            <w:tcW w:w="1500" w:type="dxa"/>
            <w:tcMar>
              <w:top w:w="60" w:type="dxa"/>
              <w:left w:w="90" w:type="dxa"/>
              <w:bottom w:w="60" w:type="dxa"/>
              <w:right w:w="90" w:type="dxa"/>
            </w:tcMar>
          </w:tcPr>
          <w:p w14:paraId="14BF02A9" w14:textId="77777777" w:rsidR="00A25A4E" w:rsidRDefault="00000000">
            <w:pPr>
              <w:jc w:val="right"/>
            </w:pPr>
            <w:r>
              <w:rPr>
                <w:sz w:val="20"/>
                <w:szCs w:val="20"/>
              </w:rPr>
              <w:t>84.8% / 15.2%</w:t>
            </w:r>
          </w:p>
        </w:tc>
        <w:tc>
          <w:tcPr>
            <w:tcW w:w="4460" w:type="dxa"/>
            <w:tcMar>
              <w:top w:w="60" w:type="dxa"/>
              <w:left w:w="90" w:type="dxa"/>
              <w:bottom w:w="60" w:type="dxa"/>
              <w:right w:w="90" w:type="dxa"/>
            </w:tcMar>
          </w:tcPr>
          <w:p w14:paraId="7ED5DCAA" w14:textId="77777777" w:rsidR="00A25A4E" w:rsidRDefault="00000000">
            <w:pPr>
              <w:jc w:val="right"/>
            </w:pPr>
            <w:r>
              <w:rPr>
                <w:sz w:val="20"/>
                <w:szCs w:val="20"/>
              </w:rPr>
              <w:t>Market equity, book debt</w:t>
            </w:r>
          </w:p>
        </w:tc>
      </w:tr>
      <w:tr w:rsidR="00A25A4E" w14:paraId="573AF7D7" w14:textId="77777777">
        <w:tblPrEx>
          <w:tblCellMar>
            <w:top w:w="0" w:type="dxa"/>
            <w:bottom w:w="0" w:type="dxa"/>
          </w:tblCellMar>
        </w:tblPrEx>
        <w:tc>
          <w:tcPr>
            <w:tcW w:w="3400" w:type="dxa"/>
            <w:tcMar>
              <w:top w:w="60" w:type="dxa"/>
              <w:left w:w="90" w:type="dxa"/>
              <w:bottom w:w="60" w:type="dxa"/>
              <w:right w:w="90" w:type="dxa"/>
            </w:tcMar>
          </w:tcPr>
          <w:p w14:paraId="4C7A1479" w14:textId="77777777" w:rsidR="00A25A4E" w:rsidRDefault="00000000">
            <w:r>
              <w:rPr>
                <w:sz w:val="20"/>
                <w:szCs w:val="20"/>
              </w:rPr>
              <w:t>WACC</w:t>
            </w:r>
          </w:p>
        </w:tc>
        <w:tc>
          <w:tcPr>
            <w:tcW w:w="1500" w:type="dxa"/>
            <w:tcMar>
              <w:top w:w="60" w:type="dxa"/>
              <w:left w:w="90" w:type="dxa"/>
              <w:bottom w:w="60" w:type="dxa"/>
              <w:right w:w="90" w:type="dxa"/>
            </w:tcMar>
          </w:tcPr>
          <w:p w14:paraId="02705322" w14:textId="77777777" w:rsidR="00A25A4E" w:rsidRDefault="00000000">
            <w:pPr>
              <w:jc w:val="right"/>
            </w:pPr>
            <w:r>
              <w:rPr>
                <w:sz w:val="20"/>
                <w:szCs w:val="20"/>
              </w:rPr>
              <w:t>10.09%</w:t>
            </w:r>
          </w:p>
        </w:tc>
        <w:tc>
          <w:tcPr>
            <w:tcW w:w="4460" w:type="dxa"/>
            <w:tcMar>
              <w:top w:w="60" w:type="dxa"/>
              <w:left w:w="90" w:type="dxa"/>
              <w:bottom w:w="60" w:type="dxa"/>
              <w:right w:w="90" w:type="dxa"/>
            </w:tcMar>
          </w:tcPr>
          <w:p w14:paraId="2A31E56B" w14:textId="77777777" w:rsidR="00A25A4E" w:rsidRDefault="00A25A4E">
            <w:pPr>
              <w:jc w:val="right"/>
            </w:pPr>
          </w:p>
        </w:tc>
      </w:tr>
      <w:tr w:rsidR="00A25A4E" w14:paraId="5108D957" w14:textId="77777777">
        <w:tblPrEx>
          <w:tblCellMar>
            <w:top w:w="0" w:type="dxa"/>
            <w:bottom w:w="0" w:type="dxa"/>
          </w:tblCellMar>
        </w:tblPrEx>
        <w:tc>
          <w:tcPr>
            <w:tcW w:w="3400" w:type="dxa"/>
            <w:tcMar>
              <w:top w:w="60" w:type="dxa"/>
              <w:left w:w="90" w:type="dxa"/>
              <w:bottom w:w="60" w:type="dxa"/>
              <w:right w:w="90" w:type="dxa"/>
            </w:tcMar>
          </w:tcPr>
          <w:p w14:paraId="0C42C5E8" w14:textId="77777777" w:rsidR="00A25A4E" w:rsidRDefault="00000000">
            <w:r>
              <w:rPr>
                <w:sz w:val="20"/>
                <w:szCs w:val="20"/>
              </w:rPr>
              <w:t>Terminal growth</w:t>
            </w:r>
          </w:p>
        </w:tc>
        <w:tc>
          <w:tcPr>
            <w:tcW w:w="1500" w:type="dxa"/>
            <w:tcMar>
              <w:top w:w="60" w:type="dxa"/>
              <w:left w:w="90" w:type="dxa"/>
              <w:bottom w:w="60" w:type="dxa"/>
              <w:right w:w="90" w:type="dxa"/>
            </w:tcMar>
          </w:tcPr>
          <w:p w14:paraId="78AEFDBD" w14:textId="77777777" w:rsidR="00A25A4E" w:rsidRDefault="00000000">
            <w:pPr>
              <w:jc w:val="right"/>
            </w:pPr>
            <w:r>
              <w:rPr>
                <w:sz w:val="20"/>
                <w:szCs w:val="20"/>
              </w:rPr>
              <w:t>2.50%</w:t>
            </w:r>
          </w:p>
        </w:tc>
        <w:tc>
          <w:tcPr>
            <w:tcW w:w="4460" w:type="dxa"/>
            <w:tcMar>
              <w:top w:w="60" w:type="dxa"/>
              <w:left w:w="90" w:type="dxa"/>
              <w:bottom w:w="60" w:type="dxa"/>
              <w:right w:w="90" w:type="dxa"/>
            </w:tcMar>
          </w:tcPr>
          <w:p w14:paraId="6C493F28" w14:textId="77777777" w:rsidR="00A25A4E" w:rsidRDefault="00000000">
            <w:pPr>
              <w:jc w:val="right"/>
            </w:pPr>
            <w:r>
              <w:rPr>
                <w:sz w:val="20"/>
                <w:szCs w:val="20"/>
              </w:rPr>
              <w:t>Below long-run nominal GDP</w:t>
            </w:r>
          </w:p>
        </w:tc>
      </w:tr>
    </w:tbl>
    <w:p w14:paraId="5B86C987" w14:textId="77777777" w:rsidR="00A25A4E" w:rsidRDefault="00000000">
      <w:pPr>
        <w:spacing w:after="120" w:line="276" w:lineRule="auto"/>
      </w:pPr>
      <w:r>
        <w:t>Cost of debt matters here in a way it didn't for QCOM. ENTG carries a 15.2% debt weight against QCOM's 7.0%, so the 5.18% pre-tax rate has real leverage on the answer rather than rounding out of it. That rate is effective, not marginal: it's what ENTG pays on debt already issued, and the correct theoretical input is what it would pay to borrow today. The direction of the error is knowable even if the size isn't, since a company that levered up for an acquisition and has been paying down debt from $5.80B to $3.72B is refinancing into a different rate environment than the one it borrowed in.</w:t>
      </w:r>
    </w:p>
    <w:p w14:paraId="5CEE2199" w14:textId="77777777" w:rsidR="00A25A4E" w:rsidRDefault="00000000">
      <w:pPr>
        <w:spacing w:after="120" w:line="276" w:lineRule="auto"/>
      </w:pPr>
      <w:r>
        <w:lastRenderedPageBreak/>
        <w:t xml:space="preserve">Beta is 1.31, materially below QCOM's 1.64, which is worth noticing because it cuts the other way from the conclusion. A lower beta means a lower discount rate, a higher valuation, and a smaller gap </w:t>
      </w:r>
      <w:proofErr w:type="gramStart"/>
      <w:r>
        <w:t>to market</w:t>
      </w:r>
      <w:proofErr w:type="gramEnd"/>
      <w:r>
        <w:t>. I've used the raw figure with no Blume adjustment, the same treatment QCOM got, so the comparison between the two names stays clean.</w:t>
      </w:r>
    </w:p>
    <w:p w14:paraId="368BD774" w14:textId="77777777" w:rsidR="00A25A4E" w:rsidRDefault="00000000">
      <w:pPr>
        <w:spacing w:after="120" w:line="276" w:lineRule="auto"/>
      </w:pPr>
      <w:r>
        <w:t xml:space="preserve">Terminal growth of 2.50% is the assumption I'd contest hardest in my own model. QCOM is a mature handset licensor and 2.5% is defensible there. ENTG sells consumables into wafer </w:t>
      </w:r>
      <w:proofErr w:type="gramStart"/>
      <w:r>
        <w:t>starts</w:t>
      </w:r>
      <w:proofErr w:type="gramEnd"/>
      <w:r>
        <w:t xml:space="preserve">, and wafer </w:t>
      </w:r>
      <w:proofErr w:type="gramStart"/>
      <w:r>
        <w:t>starts</w:t>
      </w:r>
      <w:proofErr w:type="gramEnd"/>
      <w:r>
        <w:t xml:space="preserve"> grow with semiconductor content rather than with GDP. A perpetuity rate can't exceed long-run nominal GDP without the math breaking, so 2.5% is the constrained answer, but the constraint is a property of Gordon Growth rather than a finding about Entegris.</w:t>
      </w:r>
    </w:p>
    <w:p w14:paraId="2DD5540F" w14:textId="77777777" w:rsidR="00A25A4E" w:rsidRDefault="00000000">
      <w:pPr>
        <w:pStyle w:val="Heading1"/>
        <w:spacing w:before="280" w:after="140"/>
      </w:pPr>
      <w:r>
        <w:rPr>
          <w:b/>
          <w:bCs/>
          <w:color w:val="1F3864"/>
          <w:sz w:val="26"/>
          <w:szCs w:val="26"/>
        </w:rPr>
        <w:t>Terminal Value</w:t>
      </w:r>
    </w:p>
    <w:p w14:paraId="6C0691E6" w14:textId="77777777" w:rsidR="00A25A4E" w:rsidRDefault="00000000">
      <w:pPr>
        <w:spacing w:after="120" w:line="276" w:lineRule="auto"/>
      </w:pPr>
      <w:r>
        <w:t>Terminal value is $12.68B, or 73.6% of enterprise value. That's at the ceiling of the usual 60% to 75% range, and unlike QCOM's 63.6% it isn't a reassuring number. Nearly three quarters of the answer comes from an assumption about 2031 onward rather than from anything I forecast explicitly.</w:t>
      </w:r>
    </w:p>
    <w:p w14:paraId="53180536" w14:textId="77777777" w:rsidR="00A25A4E" w:rsidRDefault="00000000">
      <w:pPr>
        <w:spacing w:after="120" w:line="276" w:lineRule="auto"/>
      </w:pPr>
      <w:r>
        <w:t xml:space="preserve">The obvious exit multiple to use is my own screener's equipment median of 53.0x. I rejected it for the same reason I rejected the designer </w:t>
      </w:r>
      <w:proofErr w:type="gramStart"/>
      <w:r>
        <w:t>median</w:t>
      </w:r>
      <w:proofErr w:type="gramEnd"/>
      <w:r>
        <w:t xml:space="preserve"> for QCOM. It's circular, since using the market's current pricing to set terminal value assumes whatever conclusion the market has already reached, and it's a peak-cycle multiple applied to a mature terminal year.</w:t>
      </w:r>
    </w:p>
    <w:p w14:paraId="5B8CCEBE" w14:textId="77777777" w:rsidR="00A25A4E" w:rsidRDefault="00000000">
      <w:pPr>
        <w:spacing w:after="120" w:line="276" w:lineRule="auto"/>
      </w:pPr>
      <w:r>
        <w:t>Running the multiple backwards is more useful than imposing one. Gordon Growth implies ENTG exits 2030 at 9.4x EBITDA. It trades at 28.3x today. The market price requires 25.6x.</w:t>
      </w:r>
    </w:p>
    <w:tbl>
      <w:tblPr>
        <w:tblW w:w="9360" w:type="dxa"/>
        <w:tblBorders>
          <w:top w:val="single" w:sz="4" w:space="0" w:color="999999"/>
          <w:bottom w:val="single" w:sz="4" w:space="0" w:color="999999"/>
          <w:insideH w:val="single" w:sz="2" w:space="0" w:color="CCCCCC"/>
        </w:tblBorders>
        <w:tblCellMar>
          <w:left w:w="10" w:type="dxa"/>
          <w:right w:w="10" w:type="dxa"/>
        </w:tblCellMar>
        <w:tblLook w:val="04A0" w:firstRow="1" w:lastRow="0" w:firstColumn="1" w:lastColumn="0" w:noHBand="0" w:noVBand="1"/>
      </w:tblPr>
      <w:tblGrid>
        <w:gridCol w:w="3120"/>
        <w:gridCol w:w="3120"/>
        <w:gridCol w:w="3120"/>
      </w:tblGrid>
      <w:tr w:rsidR="00A25A4E" w14:paraId="40A61BBC" w14:textId="77777777">
        <w:tblPrEx>
          <w:tblCellMar>
            <w:top w:w="0" w:type="dxa"/>
            <w:bottom w:w="0" w:type="dxa"/>
          </w:tblCellMar>
        </w:tblPrEx>
        <w:trPr>
          <w:tblHeader/>
        </w:trPr>
        <w:tc>
          <w:tcPr>
            <w:tcW w:w="3120" w:type="dxa"/>
            <w:shd w:val="clear" w:color="auto" w:fill="EDF1F7"/>
            <w:tcMar>
              <w:top w:w="60" w:type="dxa"/>
              <w:left w:w="90" w:type="dxa"/>
              <w:bottom w:w="60" w:type="dxa"/>
              <w:right w:w="90" w:type="dxa"/>
            </w:tcMar>
          </w:tcPr>
          <w:p w14:paraId="43E43EF7" w14:textId="77777777" w:rsidR="00A25A4E" w:rsidRDefault="00000000">
            <w:r>
              <w:rPr>
                <w:b/>
                <w:bCs/>
                <w:sz w:val="20"/>
                <w:szCs w:val="20"/>
              </w:rPr>
              <w:t>Exit multiple</w:t>
            </w:r>
          </w:p>
        </w:tc>
        <w:tc>
          <w:tcPr>
            <w:tcW w:w="3120" w:type="dxa"/>
            <w:shd w:val="clear" w:color="auto" w:fill="EDF1F7"/>
            <w:tcMar>
              <w:top w:w="60" w:type="dxa"/>
              <w:left w:w="90" w:type="dxa"/>
              <w:bottom w:w="60" w:type="dxa"/>
              <w:right w:w="90" w:type="dxa"/>
            </w:tcMar>
          </w:tcPr>
          <w:p w14:paraId="265071CF" w14:textId="77777777" w:rsidR="00A25A4E" w:rsidRDefault="00000000">
            <w:pPr>
              <w:jc w:val="right"/>
            </w:pPr>
            <w:r>
              <w:rPr>
                <w:b/>
                <w:bCs/>
                <w:sz w:val="20"/>
                <w:szCs w:val="20"/>
              </w:rPr>
              <w:t>Implied value/share</w:t>
            </w:r>
          </w:p>
        </w:tc>
        <w:tc>
          <w:tcPr>
            <w:tcW w:w="3120" w:type="dxa"/>
            <w:shd w:val="clear" w:color="auto" w:fill="EDF1F7"/>
            <w:tcMar>
              <w:top w:w="60" w:type="dxa"/>
              <w:left w:w="90" w:type="dxa"/>
              <w:bottom w:w="60" w:type="dxa"/>
              <w:right w:w="90" w:type="dxa"/>
            </w:tcMar>
          </w:tcPr>
          <w:p w14:paraId="772AD123" w14:textId="77777777" w:rsidR="00A25A4E" w:rsidRDefault="00000000">
            <w:pPr>
              <w:jc w:val="right"/>
            </w:pPr>
            <w:r>
              <w:rPr>
                <w:b/>
                <w:bCs/>
                <w:sz w:val="20"/>
                <w:szCs w:val="20"/>
              </w:rPr>
              <w:t>Interpretation</w:t>
            </w:r>
          </w:p>
        </w:tc>
      </w:tr>
      <w:tr w:rsidR="00A25A4E" w14:paraId="2A204F0E" w14:textId="77777777">
        <w:tblPrEx>
          <w:tblCellMar>
            <w:top w:w="0" w:type="dxa"/>
            <w:bottom w:w="0" w:type="dxa"/>
          </w:tblCellMar>
        </w:tblPrEx>
        <w:tc>
          <w:tcPr>
            <w:tcW w:w="3120" w:type="dxa"/>
            <w:tcMar>
              <w:top w:w="60" w:type="dxa"/>
              <w:left w:w="90" w:type="dxa"/>
              <w:bottom w:w="60" w:type="dxa"/>
              <w:right w:w="90" w:type="dxa"/>
            </w:tcMar>
          </w:tcPr>
          <w:p w14:paraId="3F82C40D" w14:textId="77777777" w:rsidR="00A25A4E" w:rsidRDefault="00000000">
            <w:r>
              <w:rPr>
                <w:sz w:val="20"/>
                <w:szCs w:val="20"/>
              </w:rPr>
              <w:t>9.4x</w:t>
            </w:r>
          </w:p>
        </w:tc>
        <w:tc>
          <w:tcPr>
            <w:tcW w:w="3120" w:type="dxa"/>
            <w:tcMar>
              <w:top w:w="60" w:type="dxa"/>
              <w:left w:w="90" w:type="dxa"/>
              <w:bottom w:w="60" w:type="dxa"/>
              <w:right w:w="90" w:type="dxa"/>
            </w:tcMar>
          </w:tcPr>
          <w:p w14:paraId="16A80EE0" w14:textId="77777777" w:rsidR="00A25A4E" w:rsidRDefault="00000000">
            <w:pPr>
              <w:jc w:val="right"/>
            </w:pPr>
            <w:r>
              <w:rPr>
                <w:sz w:val="20"/>
                <w:szCs w:val="20"/>
              </w:rPr>
              <w:t>$48.04</w:t>
            </w:r>
          </w:p>
        </w:tc>
        <w:tc>
          <w:tcPr>
            <w:tcW w:w="3120" w:type="dxa"/>
            <w:tcMar>
              <w:top w:w="60" w:type="dxa"/>
              <w:left w:w="90" w:type="dxa"/>
              <w:bottom w:w="60" w:type="dxa"/>
              <w:right w:w="90" w:type="dxa"/>
            </w:tcMar>
          </w:tcPr>
          <w:p w14:paraId="484F6D48" w14:textId="77777777" w:rsidR="00A25A4E" w:rsidRDefault="00000000">
            <w:pPr>
              <w:jc w:val="right"/>
            </w:pPr>
            <w:r>
              <w:rPr>
                <w:sz w:val="20"/>
                <w:szCs w:val="20"/>
              </w:rPr>
              <w:t>Gordon Growth model</w:t>
            </w:r>
          </w:p>
        </w:tc>
      </w:tr>
      <w:tr w:rsidR="00A25A4E" w14:paraId="41FB73CF" w14:textId="77777777">
        <w:tblPrEx>
          <w:tblCellMar>
            <w:top w:w="0" w:type="dxa"/>
            <w:bottom w:w="0" w:type="dxa"/>
          </w:tblCellMar>
        </w:tblPrEx>
        <w:tc>
          <w:tcPr>
            <w:tcW w:w="3120" w:type="dxa"/>
            <w:tcMar>
              <w:top w:w="60" w:type="dxa"/>
              <w:left w:w="90" w:type="dxa"/>
              <w:bottom w:w="60" w:type="dxa"/>
              <w:right w:w="90" w:type="dxa"/>
            </w:tcMar>
          </w:tcPr>
          <w:p w14:paraId="34859524" w14:textId="77777777" w:rsidR="00A25A4E" w:rsidRDefault="00000000">
            <w:r>
              <w:rPr>
                <w:sz w:val="20"/>
                <w:szCs w:val="20"/>
              </w:rPr>
              <w:t>12.0x</w:t>
            </w:r>
          </w:p>
        </w:tc>
        <w:tc>
          <w:tcPr>
            <w:tcW w:w="3120" w:type="dxa"/>
            <w:tcMar>
              <w:top w:w="60" w:type="dxa"/>
              <w:left w:w="90" w:type="dxa"/>
              <w:bottom w:w="60" w:type="dxa"/>
              <w:right w:w="90" w:type="dxa"/>
            </w:tcMar>
          </w:tcPr>
          <w:p w14:paraId="03B763BE" w14:textId="77777777" w:rsidR="00A25A4E" w:rsidRDefault="00000000">
            <w:pPr>
              <w:jc w:val="right"/>
            </w:pPr>
            <w:r>
              <w:rPr>
                <w:sz w:val="20"/>
                <w:szCs w:val="20"/>
              </w:rPr>
              <w:t>$61.98</w:t>
            </w:r>
          </w:p>
        </w:tc>
        <w:tc>
          <w:tcPr>
            <w:tcW w:w="3120" w:type="dxa"/>
            <w:tcMar>
              <w:top w:w="60" w:type="dxa"/>
              <w:left w:w="90" w:type="dxa"/>
              <w:bottom w:w="60" w:type="dxa"/>
              <w:right w:w="90" w:type="dxa"/>
            </w:tcMar>
          </w:tcPr>
          <w:p w14:paraId="2D7A2573" w14:textId="77777777" w:rsidR="00A25A4E" w:rsidRDefault="00A25A4E">
            <w:pPr>
              <w:jc w:val="right"/>
            </w:pPr>
          </w:p>
        </w:tc>
      </w:tr>
      <w:tr w:rsidR="00A25A4E" w14:paraId="24E39E13" w14:textId="77777777">
        <w:tblPrEx>
          <w:tblCellMar>
            <w:top w:w="0" w:type="dxa"/>
            <w:bottom w:w="0" w:type="dxa"/>
          </w:tblCellMar>
        </w:tblPrEx>
        <w:tc>
          <w:tcPr>
            <w:tcW w:w="3120" w:type="dxa"/>
            <w:tcMar>
              <w:top w:w="60" w:type="dxa"/>
              <w:left w:w="90" w:type="dxa"/>
              <w:bottom w:w="60" w:type="dxa"/>
              <w:right w:w="90" w:type="dxa"/>
            </w:tcMar>
          </w:tcPr>
          <w:p w14:paraId="6696AD87" w14:textId="77777777" w:rsidR="00A25A4E" w:rsidRDefault="00000000">
            <w:r>
              <w:rPr>
                <w:sz w:val="20"/>
                <w:szCs w:val="20"/>
              </w:rPr>
              <w:t>16.0x</w:t>
            </w:r>
          </w:p>
        </w:tc>
        <w:tc>
          <w:tcPr>
            <w:tcW w:w="3120" w:type="dxa"/>
            <w:tcMar>
              <w:top w:w="60" w:type="dxa"/>
              <w:left w:w="90" w:type="dxa"/>
              <w:bottom w:w="60" w:type="dxa"/>
              <w:right w:w="90" w:type="dxa"/>
            </w:tcMar>
          </w:tcPr>
          <w:p w14:paraId="3D8C125F" w14:textId="77777777" w:rsidR="00A25A4E" w:rsidRDefault="00000000">
            <w:pPr>
              <w:jc w:val="right"/>
            </w:pPr>
            <w:r>
              <w:rPr>
                <w:sz w:val="20"/>
                <w:szCs w:val="20"/>
              </w:rPr>
              <w:t>$83.82</w:t>
            </w:r>
          </w:p>
        </w:tc>
        <w:tc>
          <w:tcPr>
            <w:tcW w:w="3120" w:type="dxa"/>
            <w:tcMar>
              <w:top w:w="60" w:type="dxa"/>
              <w:left w:w="90" w:type="dxa"/>
              <w:bottom w:w="60" w:type="dxa"/>
              <w:right w:w="90" w:type="dxa"/>
            </w:tcMar>
          </w:tcPr>
          <w:p w14:paraId="41A9A9CB" w14:textId="77777777" w:rsidR="00A25A4E" w:rsidRDefault="00A25A4E">
            <w:pPr>
              <w:jc w:val="right"/>
            </w:pPr>
          </w:p>
        </w:tc>
      </w:tr>
      <w:tr w:rsidR="00A25A4E" w14:paraId="32A86E8A" w14:textId="77777777">
        <w:tblPrEx>
          <w:tblCellMar>
            <w:top w:w="0" w:type="dxa"/>
            <w:bottom w:w="0" w:type="dxa"/>
          </w:tblCellMar>
        </w:tblPrEx>
        <w:tc>
          <w:tcPr>
            <w:tcW w:w="3120" w:type="dxa"/>
            <w:tcMar>
              <w:top w:w="60" w:type="dxa"/>
              <w:left w:w="90" w:type="dxa"/>
              <w:bottom w:w="60" w:type="dxa"/>
              <w:right w:w="90" w:type="dxa"/>
            </w:tcMar>
          </w:tcPr>
          <w:p w14:paraId="4B3403C3" w14:textId="77777777" w:rsidR="00A25A4E" w:rsidRDefault="00000000">
            <w:r>
              <w:rPr>
                <w:sz w:val="20"/>
                <w:szCs w:val="20"/>
              </w:rPr>
              <w:t>20.0x</w:t>
            </w:r>
          </w:p>
        </w:tc>
        <w:tc>
          <w:tcPr>
            <w:tcW w:w="3120" w:type="dxa"/>
            <w:tcMar>
              <w:top w:w="60" w:type="dxa"/>
              <w:left w:w="90" w:type="dxa"/>
              <w:bottom w:w="60" w:type="dxa"/>
              <w:right w:w="90" w:type="dxa"/>
            </w:tcMar>
          </w:tcPr>
          <w:p w14:paraId="258126E9" w14:textId="77777777" w:rsidR="00A25A4E" w:rsidRDefault="00000000">
            <w:pPr>
              <w:jc w:val="right"/>
            </w:pPr>
            <w:r>
              <w:rPr>
                <w:sz w:val="20"/>
                <w:szCs w:val="20"/>
              </w:rPr>
              <w:t>$105.67</w:t>
            </w:r>
          </w:p>
        </w:tc>
        <w:tc>
          <w:tcPr>
            <w:tcW w:w="3120" w:type="dxa"/>
            <w:tcMar>
              <w:top w:w="60" w:type="dxa"/>
              <w:left w:w="90" w:type="dxa"/>
              <w:bottom w:w="60" w:type="dxa"/>
              <w:right w:w="90" w:type="dxa"/>
            </w:tcMar>
          </w:tcPr>
          <w:p w14:paraId="66BE6EAA" w14:textId="77777777" w:rsidR="00A25A4E" w:rsidRDefault="00A25A4E">
            <w:pPr>
              <w:jc w:val="right"/>
            </w:pPr>
          </w:p>
        </w:tc>
      </w:tr>
      <w:tr w:rsidR="00A25A4E" w14:paraId="4CB3CB86" w14:textId="77777777">
        <w:tblPrEx>
          <w:tblCellMar>
            <w:top w:w="0" w:type="dxa"/>
            <w:bottom w:w="0" w:type="dxa"/>
          </w:tblCellMar>
        </w:tblPrEx>
        <w:tc>
          <w:tcPr>
            <w:tcW w:w="3120" w:type="dxa"/>
            <w:tcMar>
              <w:top w:w="60" w:type="dxa"/>
              <w:left w:w="90" w:type="dxa"/>
              <w:bottom w:w="60" w:type="dxa"/>
              <w:right w:w="90" w:type="dxa"/>
            </w:tcMar>
          </w:tcPr>
          <w:p w14:paraId="02A56480" w14:textId="77777777" w:rsidR="00A25A4E" w:rsidRDefault="00000000">
            <w:r>
              <w:rPr>
                <w:sz w:val="20"/>
                <w:szCs w:val="20"/>
              </w:rPr>
              <w:t>25.6x</w:t>
            </w:r>
          </w:p>
        </w:tc>
        <w:tc>
          <w:tcPr>
            <w:tcW w:w="3120" w:type="dxa"/>
            <w:tcMar>
              <w:top w:w="60" w:type="dxa"/>
              <w:left w:w="90" w:type="dxa"/>
              <w:bottom w:w="60" w:type="dxa"/>
              <w:right w:w="90" w:type="dxa"/>
            </w:tcMar>
          </w:tcPr>
          <w:p w14:paraId="1E0D371A" w14:textId="77777777" w:rsidR="00A25A4E" w:rsidRDefault="00000000">
            <w:pPr>
              <w:jc w:val="right"/>
            </w:pPr>
            <w:r>
              <w:rPr>
                <w:sz w:val="20"/>
                <w:szCs w:val="20"/>
              </w:rPr>
              <w:t>$136.26</w:t>
            </w:r>
          </w:p>
        </w:tc>
        <w:tc>
          <w:tcPr>
            <w:tcW w:w="3120" w:type="dxa"/>
            <w:tcMar>
              <w:top w:w="60" w:type="dxa"/>
              <w:left w:w="90" w:type="dxa"/>
              <w:bottom w:w="60" w:type="dxa"/>
              <w:right w:w="90" w:type="dxa"/>
            </w:tcMar>
          </w:tcPr>
          <w:p w14:paraId="7C07A78D" w14:textId="77777777" w:rsidR="00A25A4E" w:rsidRDefault="00000000">
            <w:pPr>
              <w:jc w:val="right"/>
            </w:pPr>
            <w:r>
              <w:rPr>
                <w:sz w:val="20"/>
                <w:szCs w:val="20"/>
              </w:rPr>
              <w:t>Market price</w:t>
            </w:r>
          </w:p>
        </w:tc>
      </w:tr>
      <w:tr w:rsidR="00A25A4E" w14:paraId="46404676" w14:textId="77777777">
        <w:tblPrEx>
          <w:tblCellMar>
            <w:top w:w="0" w:type="dxa"/>
            <w:bottom w:w="0" w:type="dxa"/>
          </w:tblCellMar>
        </w:tblPrEx>
        <w:tc>
          <w:tcPr>
            <w:tcW w:w="3120" w:type="dxa"/>
            <w:tcMar>
              <w:top w:w="60" w:type="dxa"/>
              <w:left w:w="90" w:type="dxa"/>
              <w:bottom w:w="60" w:type="dxa"/>
              <w:right w:w="90" w:type="dxa"/>
            </w:tcMar>
          </w:tcPr>
          <w:p w14:paraId="2893C4E6" w14:textId="77777777" w:rsidR="00A25A4E" w:rsidRDefault="00000000">
            <w:r>
              <w:rPr>
                <w:sz w:val="20"/>
                <w:szCs w:val="20"/>
              </w:rPr>
              <w:t>28.3x</w:t>
            </w:r>
          </w:p>
        </w:tc>
        <w:tc>
          <w:tcPr>
            <w:tcW w:w="3120" w:type="dxa"/>
            <w:tcMar>
              <w:top w:w="60" w:type="dxa"/>
              <w:left w:w="90" w:type="dxa"/>
              <w:bottom w:w="60" w:type="dxa"/>
              <w:right w:w="90" w:type="dxa"/>
            </w:tcMar>
          </w:tcPr>
          <w:p w14:paraId="47F570A3" w14:textId="77777777" w:rsidR="00A25A4E" w:rsidRDefault="00000000">
            <w:pPr>
              <w:jc w:val="right"/>
            </w:pPr>
            <w:r>
              <w:rPr>
                <w:sz w:val="20"/>
                <w:szCs w:val="20"/>
              </w:rPr>
              <w:t>~$149</w:t>
            </w:r>
          </w:p>
        </w:tc>
        <w:tc>
          <w:tcPr>
            <w:tcW w:w="3120" w:type="dxa"/>
            <w:tcMar>
              <w:top w:w="60" w:type="dxa"/>
              <w:left w:w="90" w:type="dxa"/>
              <w:bottom w:w="60" w:type="dxa"/>
              <w:right w:w="90" w:type="dxa"/>
            </w:tcMar>
          </w:tcPr>
          <w:p w14:paraId="2DEF0930" w14:textId="77777777" w:rsidR="00A25A4E" w:rsidRDefault="00000000">
            <w:pPr>
              <w:jc w:val="right"/>
            </w:pPr>
            <w:r>
              <w:rPr>
                <w:sz w:val="20"/>
                <w:szCs w:val="20"/>
              </w:rPr>
              <w:t>ENTG's current multiple</w:t>
            </w:r>
          </w:p>
        </w:tc>
      </w:tr>
    </w:tbl>
    <w:p w14:paraId="2ADBF668" w14:textId="77777777" w:rsidR="00A25A4E" w:rsidRDefault="00000000">
      <w:pPr>
        <w:spacing w:after="160" w:line="276" w:lineRule="auto"/>
      </w:pPr>
      <w:r>
        <w:t>The last two rows are the ones that matter, and they invert the QCOM result. For QCOM, holding the exit multiple at today's 14.3x still produced $152 against a $185 price, so the market needed re-rating upward on a 2%-growth business. For ENTG, holding the multiple at today's 28.3x produces roughly $149 against a $136 price. The market isn't asking for expansion here. It's asking for persistence, and persistence is a far weaker claim to call implausible.</w:t>
      </w:r>
    </w:p>
    <w:p w14:paraId="5388CFF1" w14:textId="77777777" w:rsidR="00A25A4E" w:rsidRDefault="00000000">
      <w:pPr>
        <w:pStyle w:val="Heading1"/>
        <w:spacing w:before="280" w:after="140"/>
      </w:pPr>
      <w:r>
        <w:rPr>
          <w:b/>
          <w:bCs/>
          <w:color w:val="1F3864"/>
          <w:sz w:val="26"/>
          <w:szCs w:val="26"/>
        </w:rPr>
        <w:t>Sensitivity</w:t>
      </w:r>
    </w:p>
    <w:p w14:paraId="429E3A6D" w14:textId="77777777" w:rsidR="00A25A4E" w:rsidRDefault="00000000">
      <w:pPr>
        <w:spacing w:after="120" w:line="276" w:lineRule="auto"/>
      </w:pPr>
      <w:r>
        <w:t>Intrinsic value per share across WACC and terminal growth, base case operating assumptions held fixed.</w:t>
      </w:r>
    </w:p>
    <w:tbl>
      <w:tblPr>
        <w:tblW w:w="9360" w:type="dxa"/>
        <w:tblBorders>
          <w:top w:val="single" w:sz="4" w:space="0" w:color="999999"/>
          <w:bottom w:val="single" w:sz="4" w:space="0" w:color="999999"/>
          <w:insideH w:val="single" w:sz="2" w:space="0" w:color="CCCCCC"/>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25A4E" w14:paraId="15191128" w14:textId="77777777">
        <w:tblPrEx>
          <w:tblCellMar>
            <w:top w:w="0" w:type="dxa"/>
            <w:bottom w:w="0" w:type="dxa"/>
          </w:tblCellMar>
        </w:tblPrEx>
        <w:trPr>
          <w:tblHeader/>
        </w:trPr>
        <w:tc>
          <w:tcPr>
            <w:tcW w:w="1560" w:type="dxa"/>
            <w:shd w:val="clear" w:color="auto" w:fill="EDF1F7"/>
            <w:tcMar>
              <w:top w:w="60" w:type="dxa"/>
              <w:left w:w="90" w:type="dxa"/>
              <w:bottom w:w="60" w:type="dxa"/>
              <w:right w:w="90" w:type="dxa"/>
            </w:tcMar>
          </w:tcPr>
          <w:p w14:paraId="4B343453" w14:textId="77777777" w:rsidR="00A25A4E" w:rsidRDefault="00000000">
            <w:r>
              <w:rPr>
                <w:b/>
                <w:bCs/>
                <w:sz w:val="20"/>
                <w:szCs w:val="20"/>
              </w:rPr>
              <w:t>WACC \ g</w:t>
            </w:r>
          </w:p>
        </w:tc>
        <w:tc>
          <w:tcPr>
            <w:tcW w:w="1560" w:type="dxa"/>
            <w:shd w:val="clear" w:color="auto" w:fill="EDF1F7"/>
            <w:tcMar>
              <w:top w:w="60" w:type="dxa"/>
              <w:left w:w="90" w:type="dxa"/>
              <w:bottom w:w="60" w:type="dxa"/>
              <w:right w:w="90" w:type="dxa"/>
            </w:tcMar>
          </w:tcPr>
          <w:p w14:paraId="2CC82DFE" w14:textId="77777777" w:rsidR="00A25A4E" w:rsidRDefault="00000000">
            <w:pPr>
              <w:jc w:val="right"/>
            </w:pPr>
            <w:r>
              <w:rPr>
                <w:b/>
                <w:bCs/>
                <w:sz w:val="20"/>
                <w:szCs w:val="20"/>
              </w:rPr>
              <w:t>2.00%</w:t>
            </w:r>
          </w:p>
        </w:tc>
        <w:tc>
          <w:tcPr>
            <w:tcW w:w="1560" w:type="dxa"/>
            <w:shd w:val="clear" w:color="auto" w:fill="EDF1F7"/>
            <w:tcMar>
              <w:top w:w="60" w:type="dxa"/>
              <w:left w:w="90" w:type="dxa"/>
              <w:bottom w:w="60" w:type="dxa"/>
              <w:right w:w="90" w:type="dxa"/>
            </w:tcMar>
          </w:tcPr>
          <w:p w14:paraId="16993AF3" w14:textId="77777777" w:rsidR="00A25A4E" w:rsidRDefault="00000000">
            <w:pPr>
              <w:jc w:val="right"/>
            </w:pPr>
            <w:r>
              <w:rPr>
                <w:b/>
                <w:bCs/>
                <w:sz w:val="20"/>
                <w:szCs w:val="20"/>
              </w:rPr>
              <w:t>2.25%</w:t>
            </w:r>
          </w:p>
        </w:tc>
        <w:tc>
          <w:tcPr>
            <w:tcW w:w="1560" w:type="dxa"/>
            <w:shd w:val="clear" w:color="auto" w:fill="EDF1F7"/>
            <w:tcMar>
              <w:top w:w="60" w:type="dxa"/>
              <w:left w:w="90" w:type="dxa"/>
              <w:bottom w:w="60" w:type="dxa"/>
              <w:right w:w="90" w:type="dxa"/>
            </w:tcMar>
          </w:tcPr>
          <w:p w14:paraId="0F772F4F" w14:textId="77777777" w:rsidR="00A25A4E" w:rsidRDefault="00000000">
            <w:pPr>
              <w:jc w:val="right"/>
            </w:pPr>
            <w:r>
              <w:rPr>
                <w:b/>
                <w:bCs/>
                <w:sz w:val="20"/>
                <w:szCs w:val="20"/>
              </w:rPr>
              <w:t>2.50%</w:t>
            </w:r>
          </w:p>
        </w:tc>
        <w:tc>
          <w:tcPr>
            <w:tcW w:w="1560" w:type="dxa"/>
            <w:shd w:val="clear" w:color="auto" w:fill="EDF1F7"/>
            <w:tcMar>
              <w:top w:w="60" w:type="dxa"/>
              <w:left w:w="90" w:type="dxa"/>
              <w:bottom w:w="60" w:type="dxa"/>
              <w:right w:w="90" w:type="dxa"/>
            </w:tcMar>
          </w:tcPr>
          <w:p w14:paraId="6A5E918F" w14:textId="77777777" w:rsidR="00A25A4E" w:rsidRDefault="00000000">
            <w:pPr>
              <w:jc w:val="right"/>
            </w:pPr>
            <w:r>
              <w:rPr>
                <w:b/>
                <w:bCs/>
                <w:sz w:val="20"/>
                <w:szCs w:val="20"/>
              </w:rPr>
              <w:t>2.75%</w:t>
            </w:r>
          </w:p>
        </w:tc>
        <w:tc>
          <w:tcPr>
            <w:tcW w:w="1560" w:type="dxa"/>
            <w:shd w:val="clear" w:color="auto" w:fill="EDF1F7"/>
            <w:tcMar>
              <w:top w:w="60" w:type="dxa"/>
              <w:left w:w="90" w:type="dxa"/>
              <w:bottom w:w="60" w:type="dxa"/>
              <w:right w:w="90" w:type="dxa"/>
            </w:tcMar>
          </w:tcPr>
          <w:p w14:paraId="49030D11" w14:textId="77777777" w:rsidR="00A25A4E" w:rsidRDefault="00000000">
            <w:pPr>
              <w:jc w:val="right"/>
            </w:pPr>
            <w:r>
              <w:rPr>
                <w:b/>
                <w:bCs/>
                <w:sz w:val="20"/>
                <w:szCs w:val="20"/>
              </w:rPr>
              <w:t>3.00%</w:t>
            </w:r>
          </w:p>
        </w:tc>
      </w:tr>
      <w:tr w:rsidR="00A25A4E" w14:paraId="40900DE7" w14:textId="77777777">
        <w:tblPrEx>
          <w:tblCellMar>
            <w:top w:w="0" w:type="dxa"/>
            <w:bottom w:w="0" w:type="dxa"/>
          </w:tblCellMar>
        </w:tblPrEx>
        <w:tc>
          <w:tcPr>
            <w:tcW w:w="1560" w:type="dxa"/>
            <w:tcMar>
              <w:top w:w="60" w:type="dxa"/>
              <w:left w:w="90" w:type="dxa"/>
              <w:bottom w:w="60" w:type="dxa"/>
              <w:right w:w="90" w:type="dxa"/>
            </w:tcMar>
          </w:tcPr>
          <w:p w14:paraId="7DB3E60C" w14:textId="77777777" w:rsidR="00A25A4E" w:rsidRDefault="00000000">
            <w:r>
              <w:rPr>
                <w:sz w:val="20"/>
                <w:szCs w:val="20"/>
              </w:rPr>
              <w:t>8.5%</w:t>
            </w:r>
          </w:p>
        </w:tc>
        <w:tc>
          <w:tcPr>
            <w:tcW w:w="1560" w:type="dxa"/>
            <w:tcMar>
              <w:top w:w="60" w:type="dxa"/>
              <w:left w:w="90" w:type="dxa"/>
              <w:bottom w:w="60" w:type="dxa"/>
              <w:right w:w="90" w:type="dxa"/>
            </w:tcMar>
          </w:tcPr>
          <w:p w14:paraId="798D553D" w14:textId="77777777" w:rsidR="00A25A4E" w:rsidRDefault="00000000">
            <w:pPr>
              <w:jc w:val="right"/>
            </w:pPr>
            <w:r>
              <w:rPr>
                <w:sz w:val="20"/>
                <w:szCs w:val="20"/>
              </w:rPr>
              <w:t>$61.75</w:t>
            </w:r>
          </w:p>
        </w:tc>
        <w:tc>
          <w:tcPr>
            <w:tcW w:w="1560" w:type="dxa"/>
            <w:tcMar>
              <w:top w:w="60" w:type="dxa"/>
              <w:left w:w="90" w:type="dxa"/>
              <w:bottom w:w="60" w:type="dxa"/>
              <w:right w:w="90" w:type="dxa"/>
            </w:tcMar>
          </w:tcPr>
          <w:p w14:paraId="3E0C012B" w14:textId="77777777" w:rsidR="00A25A4E" w:rsidRDefault="00000000">
            <w:pPr>
              <w:jc w:val="right"/>
            </w:pPr>
            <w:r>
              <w:rPr>
                <w:sz w:val="20"/>
                <w:szCs w:val="20"/>
              </w:rPr>
              <w:t>$64.49</w:t>
            </w:r>
          </w:p>
        </w:tc>
        <w:tc>
          <w:tcPr>
            <w:tcW w:w="1560" w:type="dxa"/>
            <w:tcMar>
              <w:top w:w="60" w:type="dxa"/>
              <w:left w:w="90" w:type="dxa"/>
              <w:bottom w:w="60" w:type="dxa"/>
              <w:right w:w="90" w:type="dxa"/>
            </w:tcMar>
          </w:tcPr>
          <w:p w14:paraId="6D9599C6" w14:textId="77777777" w:rsidR="00A25A4E" w:rsidRDefault="00000000">
            <w:pPr>
              <w:jc w:val="right"/>
            </w:pPr>
            <w:r>
              <w:rPr>
                <w:sz w:val="20"/>
                <w:szCs w:val="20"/>
              </w:rPr>
              <w:t>$67.46</w:t>
            </w:r>
          </w:p>
        </w:tc>
        <w:tc>
          <w:tcPr>
            <w:tcW w:w="1560" w:type="dxa"/>
            <w:tcMar>
              <w:top w:w="60" w:type="dxa"/>
              <w:left w:w="90" w:type="dxa"/>
              <w:bottom w:w="60" w:type="dxa"/>
              <w:right w:w="90" w:type="dxa"/>
            </w:tcMar>
          </w:tcPr>
          <w:p w14:paraId="1F3921E4" w14:textId="77777777" w:rsidR="00A25A4E" w:rsidRDefault="00000000">
            <w:pPr>
              <w:jc w:val="right"/>
            </w:pPr>
            <w:r>
              <w:rPr>
                <w:sz w:val="20"/>
                <w:szCs w:val="20"/>
              </w:rPr>
              <w:t>$70.69</w:t>
            </w:r>
          </w:p>
        </w:tc>
        <w:tc>
          <w:tcPr>
            <w:tcW w:w="1560" w:type="dxa"/>
            <w:tcMar>
              <w:top w:w="60" w:type="dxa"/>
              <w:left w:w="90" w:type="dxa"/>
              <w:bottom w:w="60" w:type="dxa"/>
              <w:right w:w="90" w:type="dxa"/>
            </w:tcMar>
          </w:tcPr>
          <w:p w14:paraId="6DD5DD1A" w14:textId="77777777" w:rsidR="00A25A4E" w:rsidRDefault="00000000">
            <w:pPr>
              <w:jc w:val="right"/>
            </w:pPr>
            <w:r>
              <w:rPr>
                <w:sz w:val="20"/>
                <w:szCs w:val="20"/>
              </w:rPr>
              <w:t>$74.22</w:t>
            </w:r>
          </w:p>
        </w:tc>
      </w:tr>
      <w:tr w:rsidR="00A25A4E" w14:paraId="6ED23AAC" w14:textId="77777777">
        <w:tblPrEx>
          <w:tblCellMar>
            <w:top w:w="0" w:type="dxa"/>
            <w:bottom w:w="0" w:type="dxa"/>
          </w:tblCellMar>
        </w:tblPrEx>
        <w:tc>
          <w:tcPr>
            <w:tcW w:w="1560" w:type="dxa"/>
            <w:tcMar>
              <w:top w:w="60" w:type="dxa"/>
              <w:left w:w="90" w:type="dxa"/>
              <w:bottom w:w="60" w:type="dxa"/>
              <w:right w:w="90" w:type="dxa"/>
            </w:tcMar>
          </w:tcPr>
          <w:p w14:paraId="717240A4" w14:textId="77777777" w:rsidR="00A25A4E" w:rsidRDefault="00000000">
            <w:r>
              <w:rPr>
                <w:sz w:val="20"/>
                <w:szCs w:val="20"/>
              </w:rPr>
              <w:t>9.0%</w:t>
            </w:r>
          </w:p>
        </w:tc>
        <w:tc>
          <w:tcPr>
            <w:tcW w:w="1560" w:type="dxa"/>
            <w:tcMar>
              <w:top w:w="60" w:type="dxa"/>
              <w:left w:w="90" w:type="dxa"/>
              <w:bottom w:w="60" w:type="dxa"/>
              <w:right w:w="90" w:type="dxa"/>
            </w:tcMar>
          </w:tcPr>
          <w:p w14:paraId="4726B8BB" w14:textId="77777777" w:rsidR="00A25A4E" w:rsidRDefault="00000000">
            <w:pPr>
              <w:jc w:val="right"/>
            </w:pPr>
            <w:r>
              <w:rPr>
                <w:sz w:val="20"/>
                <w:szCs w:val="20"/>
              </w:rPr>
              <w:t>$55.51</w:t>
            </w:r>
          </w:p>
        </w:tc>
        <w:tc>
          <w:tcPr>
            <w:tcW w:w="1560" w:type="dxa"/>
            <w:tcMar>
              <w:top w:w="60" w:type="dxa"/>
              <w:left w:w="90" w:type="dxa"/>
              <w:bottom w:w="60" w:type="dxa"/>
              <w:right w:w="90" w:type="dxa"/>
            </w:tcMar>
          </w:tcPr>
          <w:p w14:paraId="3389C02A" w14:textId="77777777" w:rsidR="00A25A4E" w:rsidRDefault="00000000">
            <w:pPr>
              <w:jc w:val="right"/>
            </w:pPr>
            <w:r>
              <w:rPr>
                <w:sz w:val="20"/>
                <w:szCs w:val="20"/>
              </w:rPr>
              <w:t>$57.83</w:t>
            </w:r>
          </w:p>
        </w:tc>
        <w:tc>
          <w:tcPr>
            <w:tcW w:w="1560" w:type="dxa"/>
            <w:tcMar>
              <w:top w:w="60" w:type="dxa"/>
              <w:left w:w="90" w:type="dxa"/>
              <w:bottom w:w="60" w:type="dxa"/>
              <w:right w:w="90" w:type="dxa"/>
            </w:tcMar>
          </w:tcPr>
          <w:p w14:paraId="469DEA1E" w14:textId="77777777" w:rsidR="00A25A4E" w:rsidRDefault="00000000">
            <w:pPr>
              <w:jc w:val="right"/>
            </w:pPr>
            <w:r>
              <w:rPr>
                <w:sz w:val="20"/>
                <w:szCs w:val="20"/>
              </w:rPr>
              <w:t>$60.32</w:t>
            </w:r>
          </w:p>
        </w:tc>
        <w:tc>
          <w:tcPr>
            <w:tcW w:w="1560" w:type="dxa"/>
            <w:tcMar>
              <w:top w:w="60" w:type="dxa"/>
              <w:left w:w="90" w:type="dxa"/>
              <w:bottom w:w="60" w:type="dxa"/>
              <w:right w:w="90" w:type="dxa"/>
            </w:tcMar>
          </w:tcPr>
          <w:p w14:paraId="332B5917" w14:textId="77777777" w:rsidR="00A25A4E" w:rsidRDefault="00000000">
            <w:pPr>
              <w:jc w:val="right"/>
            </w:pPr>
            <w:r>
              <w:rPr>
                <w:sz w:val="20"/>
                <w:szCs w:val="20"/>
              </w:rPr>
              <w:t>$63.01</w:t>
            </w:r>
          </w:p>
        </w:tc>
        <w:tc>
          <w:tcPr>
            <w:tcW w:w="1560" w:type="dxa"/>
            <w:tcMar>
              <w:top w:w="60" w:type="dxa"/>
              <w:left w:w="90" w:type="dxa"/>
              <w:bottom w:w="60" w:type="dxa"/>
              <w:right w:w="90" w:type="dxa"/>
            </w:tcMar>
          </w:tcPr>
          <w:p w14:paraId="2105992E" w14:textId="77777777" w:rsidR="00A25A4E" w:rsidRDefault="00000000">
            <w:pPr>
              <w:jc w:val="right"/>
            </w:pPr>
            <w:r>
              <w:rPr>
                <w:sz w:val="20"/>
                <w:szCs w:val="20"/>
              </w:rPr>
              <w:t>$65.93</w:t>
            </w:r>
          </w:p>
        </w:tc>
      </w:tr>
      <w:tr w:rsidR="00A25A4E" w14:paraId="6CF1CE50" w14:textId="77777777">
        <w:tblPrEx>
          <w:tblCellMar>
            <w:top w:w="0" w:type="dxa"/>
            <w:bottom w:w="0" w:type="dxa"/>
          </w:tblCellMar>
        </w:tblPrEx>
        <w:tc>
          <w:tcPr>
            <w:tcW w:w="1560" w:type="dxa"/>
            <w:tcMar>
              <w:top w:w="60" w:type="dxa"/>
              <w:left w:w="90" w:type="dxa"/>
              <w:bottom w:w="60" w:type="dxa"/>
              <w:right w:w="90" w:type="dxa"/>
            </w:tcMar>
          </w:tcPr>
          <w:p w14:paraId="1221C4D5" w14:textId="77777777" w:rsidR="00A25A4E" w:rsidRDefault="00000000">
            <w:r>
              <w:rPr>
                <w:sz w:val="20"/>
                <w:szCs w:val="20"/>
              </w:rPr>
              <w:t>9.5%</w:t>
            </w:r>
          </w:p>
        </w:tc>
        <w:tc>
          <w:tcPr>
            <w:tcW w:w="1560" w:type="dxa"/>
            <w:tcMar>
              <w:top w:w="60" w:type="dxa"/>
              <w:left w:w="90" w:type="dxa"/>
              <w:bottom w:w="60" w:type="dxa"/>
              <w:right w:w="90" w:type="dxa"/>
            </w:tcMar>
          </w:tcPr>
          <w:p w14:paraId="3488EC08" w14:textId="77777777" w:rsidR="00A25A4E" w:rsidRDefault="00000000">
            <w:pPr>
              <w:jc w:val="right"/>
            </w:pPr>
            <w:r>
              <w:rPr>
                <w:sz w:val="20"/>
                <w:szCs w:val="20"/>
              </w:rPr>
              <w:t>$50.11</w:t>
            </w:r>
          </w:p>
        </w:tc>
        <w:tc>
          <w:tcPr>
            <w:tcW w:w="1560" w:type="dxa"/>
            <w:tcMar>
              <w:top w:w="60" w:type="dxa"/>
              <w:left w:w="90" w:type="dxa"/>
              <w:bottom w:w="60" w:type="dxa"/>
              <w:right w:w="90" w:type="dxa"/>
            </w:tcMar>
          </w:tcPr>
          <w:p w14:paraId="03D3C1C8" w14:textId="77777777" w:rsidR="00A25A4E" w:rsidRDefault="00000000">
            <w:pPr>
              <w:jc w:val="right"/>
            </w:pPr>
            <w:r>
              <w:rPr>
                <w:sz w:val="20"/>
                <w:szCs w:val="20"/>
              </w:rPr>
              <w:t>$52.09</w:t>
            </w:r>
          </w:p>
        </w:tc>
        <w:tc>
          <w:tcPr>
            <w:tcW w:w="1560" w:type="dxa"/>
            <w:tcMar>
              <w:top w:w="60" w:type="dxa"/>
              <w:left w:w="90" w:type="dxa"/>
              <w:bottom w:w="60" w:type="dxa"/>
              <w:right w:w="90" w:type="dxa"/>
            </w:tcMar>
          </w:tcPr>
          <w:p w14:paraId="6DBDC515" w14:textId="77777777" w:rsidR="00A25A4E" w:rsidRDefault="00000000">
            <w:pPr>
              <w:jc w:val="right"/>
            </w:pPr>
            <w:r>
              <w:rPr>
                <w:sz w:val="20"/>
                <w:szCs w:val="20"/>
              </w:rPr>
              <w:t>$54.20</w:t>
            </w:r>
          </w:p>
        </w:tc>
        <w:tc>
          <w:tcPr>
            <w:tcW w:w="1560" w:type="dxa"/>
            <w:tcMar>
              <w:top w:w="60" w:type="dxa"/>
              <w:left w:w="90" w:type="dxa"/>
              <w:bottom w:w="60" w:type="dxa"/>
              <w:right w:w="90" w:type="dxa"/>
            </w:tcMar>
          </w:tcPr>
          <w:p w14:paraId="243EB602" w14:textId="77777777" w:rsidR="00A25A4E" w:rsidRDefault="00000000">
            <w:pPr>
              <w:jc w:val="right"/>
            </w:pPr>
            <w:r>
              <w:rPr>
                <w:sz w:val="20"/>
                <w:szCs w:val="20"/>
              </w:rPr>
              <w:t>$56.48</w:t>
            </w:r>
          </w:p>
        </w:tc>
        <w:tc>
          <w:tcPr>
            <w:tcW w:w="1560" w:type="dxa"/>
            <w:tcMar>
              <w:top w:w="60" w:type="dxa"/>
              <w:left w:w="90" w:type="dxa"/>
              <w:bottom w:w="60" w:type="dxa"/>
              <w:right w:w="90" w:type="dxa"/>
            </w:tcMar>
          </w:tcPr>
          <w:p w14:paraId="14D93C7A" w14:textId="77777777" w:rsidR="00A25A4E" w:rsidRDefault="00000000">
            <w:pPr>
              <w:jc w:val="right"/>
            </w:pPr>
            <w:r>
              <w:rPr>
                <w:sz w:val="20"/>
                <w:szCs w:val="20"/>
              </w:rPr>
              <w:t>$58.92</w:t>
            </w:r>
          </w:p>
        </w:tc>
      </w:tr>
      <w:tr w:rsidR="00A25A4E" w14:paraId="43278C6F" w14:textId="77777777">
        <w:tblPrEx>
          <w:tblCellMar>
            <w:top w:w="0" w:type="dxa"/>
            <w:bottom w:w="0" w:type="dxa"/>
          </w:tblCellMar>
        </w:tblPrEx>
        <w:tc>
          <w:tcPr>
            <w:tcW w:w="1560" w:type="dxa"/>
            <w:tcMar>
              <w:top w:w="60" w:type="dxa"/>
              <w:left w:w="90" w:type="dxa"/>
              <w:bottom w:w="60" w:type="dxa"/>
              <w:right w:w="90" w:type="dxa"/>
            </w:tcMar>
          </w:tcPr>
          <w:p w14:paraId="1384C388" w14:textId="77777777" w:rsidR="00A25A4E" w:rsidRDefault="00000000">
            <w:r>
              <w:rPr>
                <w:sz w:val="20"/>
                <w:szCs w:val="20"/>
              </w:rPr>
              <w:t>10.0%</w:t>
            </w:r>
          </w:p>
        </w:tc>
        <w:tc>
          <w:tcPr>
            <w:tcW w:w="1560" w:type="dxa"/>
            <w:tcMar>
              <w:top w:w="60" w:type="dxa"/>
              <w:left w:w="90" w:type="dxa"/>
              <w:bottom w:w="60" w:type="dxa"/>
              <w:right w:w="90" w:type="dxa"/>
            </w:tcMar>
          </w:tcPr>
          <w:p w14:paraId="674E049B" w14:textId="77777777" w:rsidR="00A25A4E" w:rsidRDefault="00000000">
            <w:pPr>
              <w:jc w:val="right"/>
            </w:pPr>
            <w:r>
              <w:rPr>
                <w:sz w:val="20"/>
                <w:szCs w:val="20"/>
              </w:rPr>
              <w:t>$45.39</w:t>
            </w:r>
          </w:p>
        </w:tc>
        <w:tc>
          <w:tcPr>
            <w:tcW w:w="1560" w:type="dxa"/>
            <w:tcMar>
              <w:top w:w="60" w:type="dxa"/>
              <w:left w:w="90" w:type="dxa"/>
              <w:bottom w:w="60" w:type="dxa"/>
              <w:right w:w="90" w:type="dxa"/>
            </w:tcMar>
          </w:tcPr>
          <w:p w14:paraId="3713A419" w14:textId="77777777" w:rsidR="00A25A4E" w:rsidRDefault="00000000">
            <w:pPr>
              <w:jc w:val="right"/>
            </w:pPr>
            <w:r>
              <w:rPr>
                <w:sz w:val="20"/>
                <w:szCs w:val="20"/>
              </w:rPr>
              <w:t>$47.09</w:t>
            </w:r>
          </w:p>
        </w:tc>
        <w:tc>
          <w:tcPr>
            <w:tcW w:w="1560" w:type="dxa"/>
            <w:tcMar>
              <w:top w:w="60" w:type="dxa"/>
              <w:left w:w="90" w:type="dxa"/>
              <w:bottom w:w="60" w:type="dxa"/>
              <w:right w:w="90" w:type="dxa"/>
            </w:tcMar>
          </w:tcPr>
          <w:p w14:paraId="078B1B3E" w14:textId="77777777" w:rsidR="00A25A4E" w:rsidRDefault="00000000">
            <w:pPr>
              <w:jc w:val="right"/>
            </w:pPr>
            <w:r>
              <w:rPr>
                <w:sz w:val="20"/>
                <w:szCs w:val="20"/>
              </w:rPr>
              <w:t>$48.91</w:t>
            </w:r>
          </w:p>
        </w:tc>
        <w:tc>
          <w:tcPr>
            <w:tcW w:w="1560" w:type="dxa"/>
            <w:tcMar>
              <w:top w:w="60" w:type="dxa"/>
              <w:left w:w="90" w:type="dxa"/>
              <w:bottom w:w="60" w:type="dxa"/>
              <w:right w:w="90" w:type="dxa"/>
            </w:tcMar>
          </w:tcPr>
          <w:p w14:paraId="7EA0C9EC" w14:textId="77777777" w:rsidR="00A25A4E" w:rsidRDefault="00000000">
            <w:pPr>
              <w:jc w:val="right"/>
            </w:pPr>
            <w:r>
              <w:rPr>
                <w:sz w:val="20"/>
                <w:szCs w:val="20"/>
              </w:rPr>
              <w:t>$50.84</w:t>
            </w:r>
          </w:p>
        </w:tc>
        <w:tc>
          <w:tcPr>
            <w:tcW w:w="1560" w:type="dxa"/>
            <w:tcMar>
              <w:top w:w="60" w:type="dxa"/>
              <w:left w:w="90" w:type="dxa"/>
              <w:bottom w:w="60" w:type="dxa"/>
              <w:right w:w="90" w:type="dxa"/>
            </w:tcMar>
          </w:tcPr>
          <w:p w14:paraId="796F6FF9" w14:textId="77777777" w:rsidR="00A25A4E" w:rsidRDefault="00000000">
            <w:pPr>
              <w:jc w:val="right"/>
            </w:pPr>
            <w:r>
              <w:rPr>
                <w:sz w:val="20"/>
                <w:szCs w:val="20"/>
              </w:rPr>
              <w:t>$52.92</w:t>
            </w:r>
          </w:p>
        </w:tc>
      </w:tr>
      <w:tr w:rsidR="00A25A4E" w14:paraId="134B1B44" w14:textId="77777777">
        <w:tblPrEx>
          <w:tblCellMar>
            <w:top w:w="0" w:type="dxa"/>
            <w:bottom w:w="0" w:type="dxa"/>
          </w:tblCellMar>
        </w:tblPrEx>
        <w:tc>
          <w:tcPr>
            <w:tcW w:w="1560" w:type="dxa"/>
            <w:tcMar>
              <w:top w:w="60" w:type="dxa"/>
              <w:left w:w="90" w:type="dxa"/>
              <w:bottom w:w="60" w:type="dxa"/>
              <w:right w:w="90" w:type="dxa"/>
            </w:tcMar>
          </w:tcPr>
          <w:p w14:paraId="5F43443B" w14:textId="77777777" w:rsidR="00A25A4E" w:rsidRDefault="00000000">
            <w:r>
              <w:rPr>
                <w:sz w:val="20"/>
                <w:szCs w:val="20"/>
              </w:rPr>
              <w:lastRenderedPageBreak/>
              <w:t>10.5%</w:t>
            </w:r>
          </w:p>
        </w:tc>
        <w:tc>
          <w:tcPr>
            <w:tcW w:w="1560" w:type="dxa"/>
            <w:tcMar>
              <w:top w:w="60" w:type="dxa"/>
              <w:left w:w="90" w:type="dxa"/>
              <w:bottom w:w="60" w:type="dxa"/>
              <w:right w:w="90" w:type="dxa"/>
            </w:tcMar>
          </w:tcPr>
          <w:p w14:paraId="329D7755" w14:textId="77777777" w:rsidR="00A25A4E" w:rsidRDefault="00000000">
            <w:pPr>
              <w:jc w:val="right"/>
            </w:pPr>
            <w:r>
              <w:rPr>
                <w:sz w:val="20"/>
                <w:szCs w:val="20"/>
              </w:rPr>
              <w:t>$41.23</w:t>
            </w:r>
          </w:p>
        </w:tc>
        <w:tc>
          <w:tcPr>
            <w:tcW w:w="1560" w:type="dxa"/>
            <w:tcMar>
              <w:top w:w="60" w:type="dxa"/>
              <w:left w:w="90" w:type="dxa"/>
              <w:bottom w:w="60" w:type="dxa"/>
              <w:right w:w="90" w:type="dxa"/>
            </w:tcMar>
          </w:tcPr>
          <w:p w14:paraId="5DF7C0EF" w14:textId="77777777" w:rsidR="00A25A4E" w:rsidRDefault="00000000">
            <w:pPr>
              <w:jc w:val="right"/>
            </w:pPr>
            <w:r>
              <w:rPr>
                <w:sz w:val="20"/>
                <w:szCs w:val="20"/>
              </w:rPr>
              <w:t>$42.70</w:t>
            </w:r>
          </w:p>
        </w:tc>
        <w:tc>
          <w:tcPr>
            <w:tcW w:w="1560" w:type="dxa"/>
            <w:tcMar>
              <w:top w:w="60" w:type="dxa"/>
              <w:left w:w="90" w:type="dxa"/>
              <w:bottom w:w="60" w:type="dxa"/>
              <w:right w:w="90" w:type="dxa"/>
            </w:tcMar>
          </w:tcPr>
          <w:p w14:paraId="04B16E7D" w14:textId="77777777" w:rsidR="00A25A4E" w:rsidRDefault="00000000">
            <w:pPr>
              <w:jc w:val="right"/>
            </w:pPr>
            <w:r>
              <w:rPr>
                <w:sz w:val="20"/>
                <w:szCs w:val="20"/>
              </w:rPr>
              <w:t>$44.27</w:t>
            </w:r>
          </w:p>
        </w:tc>
        <w:tc>
          <w:tcPr>
            <w:tcW w:w="1560" w:type="dxa"/>
            <w:tcMar>
              <w:top w:w="60" w:type="dxa"/>
              <w:left w:w="90" w:type="dxa"/>
              <w:bottom w:w="60" w:type="dxa"/>
              <w:right w:w="90" w:type="dxa"/>
            </w:tcMar>
          </w:tcPr>
          <w:p w14:paraId="25E866D6" w14:textId="77777777" w:rsidR="00A25A4E" w:rsidRDefault="00000000">
            <w:pPr>
              <w:jc w:val="right"/>
            </w:pPr>
            <w:r>
              <w:rPr>
                <w:sz w:val="20"/>
                <w:szCs w:val="20"/>
              </w:rPr>
              <w:t>$45.94</w:t>
            </w:r>
          </w:p>
        </w:tc>
        <w:tc>
          <w:tcPr>
            <w:tcW w:w="1560" w:type="dxa"/>
            <w:tcMar>
              <w:top w:w="60" w:type="dxa"/>
              <w:left w:w="90" w:type="dxa"/>
              <w:bottom w:w="60" w:type="dxa"/>
              <w:right w:w="90" w:type="dxa"/>
            </w:tcMar>
          </w:tcPr>
          <w:p w14:paraId="5FBDE6C6" w14:textId="77777777" w:rsidR="00A25A4E" w:rsidRDefault="00000000">
            <w:pPr>
              <w:jc w:val="right"/>
            </w:pPr>
            <w:r>
              <w:rPr>
                <w:sz w:val="20"/>
                <w:szCs w:val="20"/>
              </w:rPr>
              <w:t>$47.73</w:t>
            </w:r>
          </w:p>
        </w:tc>
      </w:tr>
      <w:tr w:rsidR="00A25A4E" w14:paraId="5BD7E39E" w14:textId="77777777">
        <w:tblPrEx>
          <w:tblCellMar>
            <w:top w:w="0" w:type="dxa"/>
            <w:bottom w:w="0" w:type="dxa"/>
          </w:tblCellMar>
        </w:tblPrEx>
        <w:tc>
          <w:tcPr>
            <w:tcW w:w="1560" w:type="dxa"/>
            <w:tcMar>
              <w:top w:w="60" w:type="dxa"/>
              <w:left w:w="90" w:type="dxa"/>
              <w:bottom w:w="60" w:type="dxa"/>
              <w:right w:w="90" w:type="dxa"/>
            </w:tcMar>
          </w:tcPr>
          <w:p w14:paraId="4361B14E" w14:textId="77777777" w:rsidR="00A25A4E" w:rsidRDefault="00000000">
            <w:r>
              <w:rPr>
                <w:sz w:val="20"/>
                <w:szCs w:val="20"/>
              </w:rPr>
              <w:t>11.0%</w:t>
            </w:r>
          </w:p>
        </w:tc>
        <w:tc>
          <w:tcPr>
            <w:tcW w:w="1560" w:type="dxa"/>
            <w:tcMar>
              <w:top w:w="60" w:type="dxa"/>
              <w:left w:w="90" w:type="dxa"/>
              <w:bottom w:w="60" w:type="dxa"/>
              <w:right w:w="90" w:type="dxa"/>
            </w:tcMar>
          </w:tcPr>
          <w:p w14:paraId="15DBE09E" w14:textId="77777777" w:rsidR="00A25A4E" w:rsidRDefault="00000000">
            <w:pPr>
              <w:jc w:val="right"/>
            </w:pPr>
            <w:r>
              <w:rPr>
                <w:sz w:val="20"/>
                <w:szCs w:val="20"/>
              </w:rPr>
              <w:t>$37.53</w:t>
            </w:r>
          </w:p>
        </w:tc>
        <w:tc>
          <w:tcPr>
            <w:tcW w:w="1560" w:type="dxa"/>
            <w:tcMar>
              <w:top w:w="60" w:type="dxa"/>
              <w:left w:w="90" w:type="dxa"/>
              <w:bottom w:w="60" w:type="dxa"/>
              <w:right w:w="90" w:type="dxa"/>
            </w:tcMar>
          </w:tcPr>
          <w:p w14:paraId="2F44DABA" w14:textId="77777777" w:rsidR="00A25A4E" w:rsidRDefault="00000000">
            <w:pPr>
              <w:jc w:val="right"/>
            </w:pPr>
            <w:r>
              <w:rPr>
                <w:sz w:val="20"/>
                <w:szCs w:val="20"/>
              </w:rPr>
              <w:t>$38.82</w:t>
            </w:r>
          </w:p>
        </w:tc>
        <w:tc>
          <w:tcPr>
            <w:tcW w:w="1560" w:type="dxa"/>
            <w:tcMar>
              <w:top w:w="60" w:type="dxa"/>
              <w:left w:w="90" w:type="dxa"/>
              <w:bottom w:w="60" w:type="dxa"/>
              <w:right w:w="90" w:type="dxa"/>
            </w:tcMar>
          </w:tcPr>
          <w:p w14:paraId="7F87D66D" w14:textId="77777777" w:rsidR="00A25A4E" w:rsidRDefault="00000000">
            <w:pPr>
              <w:jc w:val="right"/>
            </w:pPr>
            <w:r>
              <w:rPr>
                <w:sz w:val="20"/>
                <w:szCs w:val="20"/>
              </w:rPr>
              <w:t>$40.19</w:t>
            </w:r>
          </w:p>
        </w:tc>
        <w:tc>
          <w:tcPr>
            <w:tcW w:w="1560" w:type="dxa"/>
            <w:tcMar>
              <w:top w:w="60" w:type="dxa"/>
              <w:left w:w="90" w:type="dxa"/>
              <w:bottom w:w="60" w:type="dxa"/>
              <w:right w:w="90" w:type="dxa"/>
            </w:tcMar>
          </w:tcPr>
          <w:p w14:paraId="193A1108" w14:textId="77777777" w:rsidR="00A25A4E" w:rsidRDefault="00000000">
            <w:pPr>
              <w:jc w:val="right"/>
            </w:pPr>
            <w:r>
              <w:rPr>
                <w:sz w:val="20"/>
                <w:szCs w:val="20"/>
              </w:rPr>
              <w:t>$41.64</w:t>
            </w:r>
          </w:p>
        </w:tc>
        <w:tc>
          <w:tcPr>
            <w:tcW w:w="1560" w:type="dxa"/>
            <w:tcMar>
              <w:top w:w="60" w:type="dxa"/>
              <w:left w:w="90" w:type="dxa"/>
              <w:bottom w:w="60" w:type="dxa"/>
              <w:right w:w="90" w:type="dxa"/>
            </w:tcMar>
          </w:tcPr>
          <w:p w14:paraId="63AC1614" w14:textId="77777777" w:rsidR="00A25A4E" w:rsidRDefault="00000000">
            <w:pPr>
              <w:jc w:val="right"/>
            </w:pPr>
            <w:r>
              <w:rPr>
                <w:sz w:val="20"/>
                <w:szCs w:val="20"/>
              </w:rPr>
              <w:t>$43.18</w:t>
            </w:r>
          </w:p>
        </w:tc>
      </w:tr>
      <w:tr w:rsidR="00A25A4E" w14:paraId="324CC990" w14:textId="77777777">
        <w:tblPrEx>
          <w:tblCellMar>
            <w:top w:w="0" w:type="dxa"/>
            <w:bottom w:w="0" w:type="dxa"/>
          </w:tblCellMar>
        </w:tblPrEx>
        <w:tc>
          <w:tcPr>
            <w:tcW w:w="1560" w:type="dxa"/>
            <w:tcMar>
              <w:top w:w="60" w:type="dxa"/>
              <w:left w:w="90" w:type="dxa"/>
              <w:bottom w:w="60" w:type="dxa"/>
              <w:right w:w="90" w:type="dxa"/>
            </w:tcMar>
          </w:tcPr>
          <w:p w14:paraId="044402E3" w14:textId="77777777" w:rsidR="00A25A4E" w:rsidRDefault="00000000">
            <w:r>
              <w:rPr>
                <w:sz w:val="20"/>
                <w:szCs w:val="20"/>
              </w:rPr>
              <w:t>11.5%</w:t>
            </w:r>
          </w:p>
        </w:tc>
        <w:tc>
          <w:tcPr>
            <w:tcW w:w="1560" w:type="dxa"/>
            <w:tcMar>
              <w:top w:w="60" w:type="dxa"/>
              <w:left w:w="90" w:type="dxa"/>
              <w:bottom w:w="60" w:type="dxa"/>
              <w:right w:w="90" w:type="dxa"/>
            </w:tcMar>
          </w:tcPr>
          <w:p w14:paraId="402F73D0" w14:textId="77777777" w:rsidR="00A25A4E" w:rsidRDefault="00000000">
            <w:pPr>
              <w:jc w:val="right"/>
            </w:pPr>
            <w:r>
              <w:rPr>
                <w:sz w:val="20"/>
                <w:szCs w:val="20"/>
              </w:rPr>
              <w:t>$34.22</w:t>
            </w:r>
          </w:p>
        </w:tc>
        <w:tc>
          <w:tcPr>
            <w:tcW w:w="1560" w:type="dxa"/>
            <w:tcMar>
              <w:top w:w="60" w:type="dxa"/>
              <w:left w:w="90" w:type="dxa"/>
              <w:bottom w:w="60" w:type="dxa"/>
              <w:right w:w="90" w:type="dxa"/>
            </w:tcMar>
          </w:tcPr>
          <w:p w14:paraId="777AD8FD" w14:textId="77777777" w:rsidR="00A25A4E" w:rsidRDefault="00000000">
            <w:pPr>
              <w:jc w:val="right"/>
            </w:pPr>
            <w:r>
              <w:rPr>
                <w:sz w:val="20"/>
                <w:szCs w:val="20"/>
              </w:rPr>
              <w:t>$35.36</w:t>
            </w:r>
          </w:p>
        </w:tc>
        <w:tc>
          <w:tcPr>
            <w:tcW w:w="1560" w:type="dxa"/>
            <w:tcMar>
              <w:top w:w="60" w:type="dxa"/>
              <w:left w:w="90" w:type="dxa"/>
              <w:bottom w:w="60" w:type="dxa"/>
              <w:right w:w="90" w:type="dxa"/>
            </w:tcMar>
          </w:tcPr>
          <w:p w14:paraId="3EE3475D" w14:textId="77777777" w:rsidR="00A25A4E" w:rsidRDefault="00000000">
            <w:pPr>
              <w:jc w:val="right"/>
            </w:pPr>
            <w:r>
              <w:rPr>
                <w:sz w:val="20"/>
                <w:szCs w:val="20"/>
              </w:rPr>
              <w:t>$36.56</w:t>
            </w:r>
          </w:p>
        </w:tc>
        <w:tc>
          <w:tcPr>
            <w:tcW w:w="1560" w:type="dxa"/>
            <w:tcMar>
              <w:top w:w="60" w:type="dxa"/>
              <w:left w:w="90" w:type="dxa"/>
              <w:bottom w:w="60" w:type="dxa"/>
              <w:right w:w="90" w:type="dxa"/>
            </w:tcMar>
          </w:tcPr>
          <w:p w14:paraId="30359287" w14:textId="77777777" w:rsidR="00A25A4E" w:rsidRDefault="00000000">
            <w:pPr>
              <w:jc w:val="right"/>
            </w:pPr>
            <w:r>
              <w:rPr>
                <w:sz w:val="20"/>
                <w:szCs w:val="20"/>
              </w:rPr>
              <w:t>$37.83</w:t>
            </w:r>
          </w:p>
        </w:tc>
        <w:tc>
          <w:tcPr>
            <w:tcW w:w="1560" w:type="dxa"/>
            <w:tcMar>
              <w:top w:w="60" w:type="dxa"/>
              <w:left w:w="90" w:type="dxa"/>
              <w:bottom w:w="60" w:type="dxa"/>
              <w:right w:w="90" w:type="dxa"/>
            </w:tcMar>
          </w:tcPr>
          <w:p w14:paraId="1243136C" w14:textId="77777777" w:rsidR="00A25A4E" w:rsidRDefault="00000000">
            <w:pPr>
              <w:jc w:val="right"/>
            </w:pPr>
            <w:r>
              <w:rPr>
                <w:sz w:val="20"/>
                <w:szCs w:val="20"/>
              </w:rPr>
              <w:t>$39.17</w:t>
            </w:r>
          </w:p>
        </w:tc>
      </w:tr>
    </w:tbl>
    <w:p w14:paraId="46DD5D0C" w14:textId="77777777" w:rsidR="00A25A4E" w:rsidRDefault="00000000">
      <w:pPr>
        <w:spacing w:after="120" w:line="276" w:lineRule="auto"/>
      </w:pPr>
      <w:r>
        <w:t>The model sits at a 10.09% WACC and 2.50% growth, just past the 10.0% row, giving $48.04. The full grid spans $34.22 to $74.22.</w:t>
      </w:r>
    </w:p>
    <w:p w14:paraId="354776FE" w14:textId="77777777" w:rsidR="00A25A4E" w:rsidRDefault="00000000">
      <w:pPr>
        <w:spacing w:after="160" w:line="276" w:lineRule="auto"/>
      </w:pPr>
      <w:r>
        <w:t xml:space="preserve">The market price of $136.26 is not in this grid and isn't within reach of it. The top-left corner pairs an 8.5% cost of capital with 3% perpetual growth and still gives $74.22, roughly 45% below </w:t>
      </w:r>
      <w:proofErr w:type="gramStart"/>
      <w:r>
        <w:t>market</w:t>
      </w:r>
      <w:proofErr w:type="gramEnd"/>
      <w:r>
        <w:t xml:space="preserve">. For QCOM that same observation was the finding. Here it's a warning, because a grid that can't reach the market price anywhere across a three-point WACC range and a </w:t>
      </w:r>
      <w:proofErr w:type="gramStart"/>
      <w:r>
        <w:t>100 basis</w:t>
      </w:r>
      <w:proofErr w:type="gramEnd"/>
      <w:r>
        <w:t xml:space="preserve"> point growth range is usually </w:t>
      </w:r>
      <w:proofErr w:type="gramStart"/>
      <w:r>
        <w:t>telling</w:t>
      </w:r>
      <w:proofErr w:type="gramEnd"/>
      <w:r>
        <w:t xml:space="preserve"> you something about the model rather than about the stock.</w:t>
      </w:r>
    </w:p>
    <w:p w14:paraId="11ACBBC1" w14:textId="77777777" w:rsidR="00A25A4E" w:rsidRDefault="00000000">
      <w:pPr>
        <w:pStyle w:val="Heading1"/>
        <w:spacing w:before="280" w:after="140"/>
      </w:pPr>
      <w:r>
        <w:rPr>
          <w:b/>
          <w:bCs/>
          <w:color w:val="1F3864"/>
          <w:sz w:val="26"/>
          <w:szCs w:val="26"/>
        </w:rPr>
        <w:t>Reverse DCF</w:t>
      </w:r>
    </w:p>
    <w:p w14:paraId="2AAB878C" w14:textId="77777777" w:rsidR="00A25A4E" w:rsidRDefault="00000000">
      <w:pPr>
        <w:spacing w:after="120" w:line="276" w:lineRule="auto"/>
      </w:pPr>
      <w:r>
        <w:t>Holding the market price fixed and solving backwards isolates the disagreement.</w:t>
      </w:r>
    </w:p>
    <w:tbl>
      <w:tblPr>
        <w:tblW w:w="9360" w:type="dxa"/>
        <w:tblBorders>
          <w:top w:val="single" w:sz="4" w:space="0" w:color="999999"/>
          <w:bottom w:val="single" w:sz="4" w:space="0" w:color="999999"/>
          <w:insideH w:val="single" w:sz="2" w:space="0" w:color="CCCCCC"/>
        </w:tblBorders>
        <w:tblCellMar>
          <w:left w:w="10" w:type="dxa"/>
          <w:right w:w="10" w:type="dxa"/>
        </w:tblCellMar>
        <w:tblLook w:val="04A0" w:firstRow="1" w:lastRow="0" w:firstColumn="1" w:lastColumn="0" w:noHBand="0" w:noVBand="1"/>
      </w:tblPr>
      <w:tblGrid>
        <w:gridCol w:w="3120"/>
        <w:gridCol w:w="2100"/>
        <w:gridCol w:w="4140"/>
      </w:tblGrid>
      <w:tr w:rsidR="00A25A4E" w14:paraId="5413644A" w14:textId="77777777">
        <w:tblPrEx>
          <w:tblCellMar>
            <w:top w:w="0" w:type="dxa"/>
            <w:bottom w:w="0" w:type="dxa"/>
          </w:tblCellMar>
        </w:tblPrEx>
        <w:trPr>
          <w:tblHeader/>
        </w:trPr>
        <w:tc>
          <w:tcPr>
            <w:tcW w:w="3120" w:type="dxa"/>
            <w:shd w:val="clear" w:color="auto" w:fill="EDF1F7"/>
            <w:tcMar>
              <w:top w:w="60" w:type="dxa"/>
              <w:left w:w="90" w:type="dxa"/>
              <w:bottom w:w="60" w:type="dxa"/>
              <w:right w:w="90" w:type="dxa"/>
            </w:tcMar>
          </w:tcPr>
          <w:p w14:paraId="117BD4B0" w14:textId="77777777" w:rsidR="00A25A4E" w:rsidRDefault="00000000">
            <w:r>
              <w:rPr>
                <w:b/>
                <w:bCs/>
                <w:sz w:val="20"/>
                <w:szCs w:val="20"/>
              </w:rPr>
              <w:t>Hold constant</w:t>
            </w:r>
          </w:p>
        </w:tc>
        <w:tc>
          <w:tcPr>
            <w:tcW w:w="2100" w:type="dxa"/>
            <w:shd w:val="clear" w:color="auto" w:fill="EDF1F7"/>
            <w:tcMar>
              <w:top w:w="60" w:type="dxa"/>
              <w:left w:w="90" w:type="dxa"/>
              <w:bottom w:w="60" w:type="dxa"/>
              <w:right w:w="90" w:type="dxa"/>
            </w:tcMar>
          </w:tcPr>
          <w:p w14:paraId="569B1AB6" w14:textId="77777777" w:rsidR="00A25A4E" w:rsidRDefault="00000000">
            <w:pPr>
              <w:jc w:val="right"/>
            </w:pPr>
            <w:r>
              <w:rPr>
                <w:b/>
                <w:bCs/>
                <w:sz w:val="20"/>
                <w:szCs w:val="20"/>
              </w:rPr>
              <w:t>Implied</w:t>
            </w:r>
          </w:p>
        </w:tc>
        <w:tc>
          <w:tcPr>
            <w:tcW w:w="4140" w:type="dxa"/>
            <w:shd w:val="clear" w:color="auto" w:fill="EDF1F7"/>
            <w:tcMar>
              <w:top w:w="60" w:type="dxa"/>
              <w:left w:w="90" w:type="dxa"/>
              <w:bottom w:w="60" w:type="dxa"/>
              <w:right w:w="90" w:type="dxa"/>
            </w:tcMar>
          </w:tcPr>
          <w:p w14:paraId="175C897E" w14:textId="77777777" w:rsidR="00A25A4E" w:rsidRDefault="00000000">
            <w:pPr>
              <w:jc w:val="right"/>
            </w:pPr>
            <w:r>
              <w:rPr>
                <w:b/>
                <w:bCs/>
                <w:sz w:val="20"/>
                <w:szCs w:val="20"/>
              </w:rPr>
              <w:t>Assessment</w:t>
            </w:r>
          </w:p>
        </w:tc>
      </w:tr>
      <w:tr w:rsidR="00A25A4E" w14:paraId="6DA1788A" w14:textId="77777777">
        <w:tblPrEx>
          <w:tblCellMar>
            <w:top w:w="0" w:type="dxa"/>
            <w:bottom w:w="0" w:type="dxa"/>
          </w:tblCellMar>
        </w:tblPrEx>
        <w:tc>
          <w:tcPr>
            <w:tcW w:w="3120" w:type="dxa"/>
            <w:tcMar>
              <w:top w:w="60" w:type="dxa"/>
              <w:left w:w="90" w:type="dxa"/>
              <w:bottom w:w="60" w:type="dxa"/>
              <w:right w:w="90" w:type="dxa"/>
            </w:tcMar>
          </w:tcPr>
          <w:p w14:paraId="06FB4999" w14:textId="77777777" w:rsidR="00A25A4E" w:rsidRDefault="00000000">
            <w:r>
              <w:rPr>
                <w:sz w:val="20"/>
                <w:szCs w:val="20"/>
              </w:rPr>
              <w:t>Base growth (6% to 4%)</w:t>
            </w:r>
          </w:p>
        </w:tc>
        <w:tc>
          <w:tcPr>
            <w:tcW w:w="2100" w:type="dxa"/>
            <w:tcMar>
              <w:top w:w="60" w:type="dxa"/>
              <w:left w:w="90" w:type="dxa"/>
              <w:bottom w:w="60" w:type="dxa"/>
              <w:right w:w="90" w:type="dxa"/>
            </w:tcMar>
          </w:tcPr>
          <w:p w14:paraId="71431678" w14:textId="77777777" w:rsidR="00A25A4E" w:rsidRDefault="00000000">
            <w:pPr>
              <w:jc w:val="right"/>
            </w:pPr>
            <w:r>
              <w:rPr>
                <w:sz w:val="20"/>
                <w:szCs w:val="20"/>
              </w:rPr>
              <w:t>WACC of 5.9%</w:t>
            </w:r>
          </w:p>
        </w:tc>
        <w:tc>
          <w:tcPr>
            <w:tcW w:w="4140" w:type="dxa"/>
            <w:tcMar>
              <w:top w:w="60" w:type="dxa"/>
              <w:left w:w="90" w:type="dxa"/>
              <w:bottom w:w="60" w:type="dxa"/>
              <w:right w:w="90" w:type="dxa"/>
            </w:tcMar>
          </w:tcPr>
          <w:p w14:paraId="35C1FA06" w14:textId="77777777" w:rsidR="00A25A4E" w:rsidRDefault="00000000">
            <w:pPr>
              <w:jc w:val="right"/>
            </w:pPr>
            <w:r>
              <w:rPr>
                <w:sz w:val="20"/>
                <w:szCs w:val="20"/>
              </w:rPr>
              <w:t>A beta of 0.33, below a utility</w:t>
            </w:r>
          </w:p>
        </w:tc>
      </w:tr>
      <w:tr w:rsidR="00A25A4E" w14:paraId="6D0B521A" w14:textId="77777777">
        <w:tblPrEx>
          <w:tblCellMar>
            <w:top w:w="0" w:type="dxa"/>
            <w:bottom w:w="0" w:type="dxa"/>
          </w:tblCellMar>
        </w:tblPrEx>
        <w:tc>
          <w:tcPr>
            <w:tcW w:w="3120" w:type="dxa"/>
            <w:tcMar>
              <w:top w:w="60" w:type="dxa"/>
              <w:left w:w="90" w:type="dxa"/>
              <w:bottom w:w="60" w:type="dxa"/>
              <w:right w:w="90" w:type="dxa"/>
            </w:tcMar>
          </w:tcPr>
          <w:p w14:paraId="669A4775" w14:textId="77777777" w:rsidR="00A25A4E" w:rsidRDefault="00000000">
            <w:r>
              <w:rPr>
                <w:sz w:val="20"/>
                <w:szCs w:val="20"/>
              </w:rPr>
              <w:t>WACC (10.09%)</w:t>
            </w:r>
          </w:p>
        </w:tc>
        <w:tc>
          <w:tcPr>
            <w:tcW w:w="2100" w:type="dxa"/>
            <w:tcMar>
              <w:top w:w="60" w:type="dxa"/>
              <w:left w:w="90" w:type="dxa"/>
              <w:bottom w:w="60" w:type="dxa"/>
              <w:right w:w="90" w:type="dxa"/>
            </w:tcMar>
          </w:tcPr>
          <w:p w14:paraId="47B44120" w14:textId="77777777" w:rsidR="00A25A4E" w:rsidRDefault="00000000">
            <w:pPr>
              <w:jc w:val="right"/>
            </w:pPr>
            <w:r>
              <w:rPr>
                <w:sz w:val="20"/>
                <w:szCs w:val="20"/>
              </w:rPr>
              <w:t>Terminal growth of 7.2%</w:t>
            </w:r>
          </w:p>
        </w:tc>
        <w:tc>
          <w:tcPr>
            <w:tcW w:w="4140" w:type="dxa"/>
            <w:tcMar>
              <w:top w:w="60" w:type="dxa"/>
              <w:left w:w="90" w:type="dxa"/>
              <w:bottom w:w="60" w:type="dxa"/>
              <w:right w:w="90" w:type="dxa"/>
            </w:tcMar>
          </w:tcPr>
          <w:p w14:paraId="6933387F" w14:textId="77777777" w:rsidR="00A25A4E" w:rsidRDefault="00000000">
            <w:pPr>
              <w:jc w:val="right"/>
            </w:pPr>
            <w:r>
              <w:rPr>
                <w:sz w:val="20"/>
                <w:szCs w:val="20"/>
              </w:rPr>
              <w:t>Above long-run nominal global GDP, forever</w:t>
            </w:r>
          </w:p>
        </w:tc>
      </w:tr>
      <w:tr w:rsidR="00A25A4E" w14:paraId="2D611E9E" w14:textId="77777777">
        <w:tblPrEx>
          <w:tblCellMar>
            <w:top w:w="0" w:type="dxa"/>
            <w:bottom w:w="0" w:type="dxa"/>
          </w:tblCellMar>
        </w:tblPrEx>
        <w:tc>
          <w:tcPr>
            <w:tcW w:w="3120" w:type="dxa"/>
            <w:tcMar>
              <w:top w:w="60" w:type="dxa"/>
              <w:left w:w="90" w:type="dxa"/>
              <w:bottom w:w="60" w:type="dxa"/>
              <w:right w:w="90" w:type="dxa"/>
            </w:tcMar>
          </w:tcPr>
          <w:p w14:paraId="665993D9" w14:textId="77777777" w:rsidR="00A25A4E" w:rsidRDefault="00000000">
            <w:r>
              <w:rPr>
                <w:sz w:val="20"/>
                <w:szCs w:val="20"/>
              </w:rPr>
              <w:t>Both</w:t>
            </w:r>
          </w:p>
        </w:tc>
        <w:tc>
          <w:tcPr>
            <w:tcW w:w="2100" w:type="dxa"/>
            <w:tcMar>
              <w:top w:w="60" w:type="dxa"/>
              <w:left w:w="90" w:type="dxa"/>
              <w:bottom w:w="60" w:type="dxa"/>
              <w:right w:w="90" w:type="dxa"/>
            </w:tcMar>
          </w:tcPr>
          <w:p w14:paraId="1589D4F6" w14:textId="77777777" w:rsidR="00A25A4E" w:rsidRDefault="00000000">
            <w:pPr>
              <w:jc w:val="right"/>
            </w:pPr>
            <w:r>
              <w:rPr>
                <w:sz w:val="20"/>
                <w:szCs w:val="20"/>
              </w:rPr>
              <w:t>Exit multiple of 25.6x</w:t>
            </w:r>
          </w:p>
        </w:tc>
        <w:tc>
          <w:tcPr>
            <w:tcW w:w="4140" w:type="dxa"/>
            <w:tcMar>
              <w:top w:w="60" w:type="dxa"/>
              <w:left w:w="90" w:type="dxa"/>
              <w:bottom w:w="60" w:type="dxa"/>
              <w:right w:w="90" w:type="dxa"/>
            </w:tcMar>
          </w:tcPr>
          <w:p w14:paraId="63BB8EC6" w14:textId="77777777" w:rsidR="00A25A4E" w:rsidRDefault="00000000">
            <w:pPr>
              <w:jc w:val="right"/>
            </w:pPr>
            <w:r>
              <w:rPr>
                <w:sz w:val="20"/>
                <w:szCs w:val="20"/>
              </w:rPr>
              <w:t>Slightly below today's 28.3x</w:t>
            </w:r>
          </w:p>
        </w:tc>
      </w:tr>
    </w:tbl>
    <w:p w14:paraId="01E06154" w14:textId="77777777" w:rsidR="00A25A4E" w:rsidRDefault="00000000">
      <w:pPr>
        <w:spacing w:after="160" w:line="276" w:lineRule="auto"/>
      </w:pPr>
      <w:r>
        <w:t>The first two rows read like the QCOM result and the third contradicts them. An implied beta of 0.33 for a levered semiconductor materials supplier is not a real number, and 7.2% perpetual growth exceeds the world economy. But the exit multiple the market implies is lower than the one ENTG trades at now, which means none of this requires the market to believe anything exotic. It only requires the multiple to hold. Two of these three rows are artifacts of forcing a five-year model to explain a valuation built on a longer horizon.</w:t>
      </w:r>
    </w:p>
    <w:p w14:paraId="18028366" w14:textId="60012DBC" w:rsidR="00A25A4E" w:rsidRDefault="006F66AE">
      <w:pPr>
        <w:pStyle w:val="Heading1"/>
        <w:spacing w:before="280" w:after="140"/>
      </w:pPr>
      <w:r>
        <w:rPr>
          <w:b/>
          <w:bCs/>
          <w:color w:val="1F3864"/>
          <w:sz w:val="26"/>
          <w:szCs w:val="26"/>
        </w:rPr>
        <w:t>Potential Sources of Error</w:t>
      </w:r>
    </w:p>
    <w:p w14:paraId="33779628" w14:textId="77777777" w:rsidR="00A25A4E" w:rsidRDefault="00000000">
      <w:pPr>
        <w:spacing w:after="120" w:line="276" w:lineRule="auto"/>
      </w:pPr>
      <w:r>
        <w:t>The terminal structure does all the work, and I can show it. At 73.6% of enterprise value, terminal value dominates the answer, and the sign of the conclusion flips depending on how that terminal is struck. Gordon Growth at 2.5% gives $48 and a 65% overvaluation. A constant exit multiple gives $149 and a 10% undervaluation. Same cash flows, same discount rate, same five years of forecasting. When two standard terminal methodologies disagree by a factor of three on the same model, the model is not producing a price target, it's producing a range that brackets the market price.</w:t>
      </w:r>
    </w:p>
    <w:p w14:paraId="0DC84C8F" w14:textId="77777777" w:rsidR="00A25A4E" w:rsidRDefault="00000000">
      <w:pPr>
        <w:spacing w:after="120" w:line="276" w:lineRule="auto"/>
      </w:pPr>
      <w:r>
        <w:t xml:space="preserve">FY2025 is a cycle </w:t>
      </w:r>
      <w:proofErr w:type="gramStart"/>
      <w:r>
        <w:t>trough</w:t>
      </w:r>
      <w:proofErr w:type="gramEnd"/>
      <w:r>
        <w:t xml:space="preserve"> and I've anchored ratios to it. Revenue fell in three of the last four years, operating margin came in at 14.3% against 16.5% the year before, and Q1 2026 already printed 17.4%. I've built a margin ramp to handle this, but the D&amp;A and working capital ratios are still struck on trough revenue, which inflates both as a percentage. That's the same false-signal problem I used to disqualify TXN as a candidate, and it applies to my own model here.</w:t>
      </w:r>
    </w:p>
    <w:p w14:paraId="582DBD20" w14:textId="77777777" w:rsidR="00A25A4E" w:rsidRDefault="00000000">
      <w:pPr>
        <w:spacing w:after="120" w:line="276" w:lineRule="auto"/>
      </w:pPr>
      <w:r>
        <w:t xml:space="preserve">Nothing about this result is specific to Entegris. The equipment segment median is 53.0x EV/EBITDA. Run this identical model on AMAT at 52.1x or LRCX at 65.0x and it returns the same verdict with a different ticker, because no five-year DCF discounted at 10% to 12% with a GDP-anchored perpetuity can reproduce a 50x multiple. The screen ranks names against each other and does that job well. The DCF </w:t>
      </w:r>
      <w:r>
        <w:lastRenderedPageBreak/>
        <w:t xml:space="preserve">prices a business against its own cash </w:t>
      </w:r>
      <w:proofErr w:type="gramStart"/>
      <w:r>
        <w:t>flows</w:t>
      </w:r>
      <w:proofErr w:type="gramEnd"/>
      <w:r>
        <w:t xml:space="preserve"> and does that job well when the growth duration fits inside the forecast window. For this sector it doesn't, and the honest read is that ENTG's 0.54x relative position against its segment is the more reliable of my two signals.</w:t>
      </w:r>
    </w:p>
    <w:p w14:paraId="6DBD50C9" w14:textId="77777777" w:rsidR="00A25A4E" w:rsidRDefault="00000000">
      <w:pPr>
        <w:pStyle w:val="Heading1"/>
        <w:spacing w:before="280" w:after="140"/>
      </w:pPr>
      <w:r>
        <w:rPr>
          <w:b/>
          <w:bCs/>
          <w:color w:val="1F3864"/>
          <w:sz w:val="26"/>
          <w:szCs w:val="26"/>
        </w:rPr>
        <w:t>Appendix: Extraction Notes</w:t>
      </w:r>
    </w:p>
    <w:p w14:paraId="12D118E5" w14:textId="77777777" w:rsidR="00A25A4E" w:rsidRDefault="00000000">
      <w:pPr>
        <w:spacing w:after="120" w:line="276" w:lineRule="auto"/>
      </w:pPr>
      <w:r>
        <w:t>Five extraction problems turned up on ENTG specifically. Each was silent, and each would have produced a plausible wrong number.</w:t>
      </w:r>
    </w:p>
    <w:p w14:paraId="7AB4D5FD" w14:textId="77777777" w:rsidR="00A25A4E" w:rsidRDefault="00000000">
      <w:pPr>
        <w:pStyle w:val="ListParagraph"/>
        <w:numPr>
          <w:ilvl w:val="0"/>
          <w:numId w:val="1"/>
        </w:numPr>
        <w:spacing w:after="80" w:line="276" w:lineRule="auto"/>
      </w:pPr>
      <w:r>
        <w:t xml:space="preserve">Capex over total D&amp;A fell to 0.77x, which </w:t>
      </w:r>
      <w:proofErr w:type="gramStart"/>
      <w:r>
        <w:t>reads as</w:t>
      </w:r>
      <w:proofErr w:type="gramEnd"/>
      <w:r>
        <w:t xml:space="preserve"> a company </w:t>
      </w:r>
      <w:proofErr w:type="gramStart"/>
      <w:r>
        <w:t>underinvesting</w:t>
      </w:r>
      <w:proofErr w:type="gramEnd"/>
      <w:r>
        <w:t xml:space="preserve"> in its own asset base and can't be extended into perpetuity. Splitting the two showed FY2025 depreciation of $0.21B against $0.18B of intangible amortization, so capex over depreciation is 1.46x and ENTG is reinvesting well above maintenance. Acquired intangibles don't need replacement capex. Total D&amp;A was the wrong denominator.</w:t>
      </w:r>
    </w:p>
    <w:p w14:paraId="06825216" w14:textId="77777777" w:rsidR="00A25A4E" w:rsidRDefault="00000000">
      <w:pPr>
        <w:pStyle w:val="ListParagraph"/>
        <w:numPr>
          <w:ilvl w:val="0"/>
          <w:numId w:val="1"/>
        </w:numPr>
        <w:spacing w:after="80" w:line="276" w:lineRule="auto"/>
      </w:pPr>
      <w:r>
        <w:t xml:space="preserve">Interest expense was pulled one year behind everything else. The extractor resolves a candidate tag list once for the whole series rather than per year, so when ENTG switched from </w:t>
      </w:r>
      <w:proofErr w:type="spellStart"/>
      <w:r>
        <w:t>InterestExpense</w:t>
      </w:r>
      <w:proofErr w:type="spellEnd"/>
      <w:r>
        <w:t xml:space="preserve"> to </w:t>
      </w:r>
      <w:proofErr w:type="spellStart"/>
      <w:r>
        <w:t>InterestExpenseNonoperating</w:t>
      </w:r>
      <w:proofErr w:type="spellEnd"/>
      <w:r>
        <w:t xml:space="preserve"> partway through, the first tag matched, the search stopped, and the window silently shifted. Same shape as the D&amp;A bug that cost $750M on AMD.</w:t>
      </w:r>
    </w:p>
    <w:p w14:paraId="5093BD2E" w14:textId="77777777" w:rsidR="00A25A4E" w:rsidRDefault="00000000">
      <w:pPr>
        <w:pStyle w:val="ListParagraph"/>
        <w:numPr>
          <w:ilvl w:val="0"/>
          <w:numId w:val="1"/>
        </w:numPr>
        <w:spacing w:after="80" w:line="276" w:lineRule="auto"/>
      </w:pPr>
      <w:r>
        <w:t xml:space="preserve">Receivables had to come from </w:t>
      </w:r>
      <w:proofErr w:type="spellStart"/>
      <w:r>
        <w:t>AccountsNotesAndLoansReceivableNetCurrent</w:t>
      </w:r>
      <w:proofErr w:type="spellEnd"/>
      <w:r>
        <w:t xml:space="preserve">, the subtotal. </w:t>
      </w:r>
      <w:proofErr w:type="spellStart"/>
      <w:r>
        <w:t>AccountsReceivableNetCurrent</w:t>
      </w:r>
      <w:proofErr w:type="spellEnd"/>
      <w:r>
        <w:t xml:space="preserve"> only appears in FY2025 and </w:t>
      </w:r>
      <w:proofErr w:type="spellStart"/>
      <w:r>
        <w:t>AccountsReceivableGross</w:t>
      </w:r>
      <w:proofErr w:type="spellEnd"/>
      <w:r>
        <w:t xml:space="preserve"> carries the same figure, so picking either would have missed three years or double-counted one.</w:t>
      </w:r>
    </w:p>
    <w:p w14:paraId="4ECD6779" w14:textId="77777777" w:rsidR="00A25A4E" w:rsidRDefault="00000000">
      <w:pPr>
        <w:pStyle w:val="ListParagraph"/>
        <w:numPr>
          <w:ilvl w:val="0"/>
          <w:numId w:val="1"/>
        </w:numPr>
        <w:spacing w:after="80" w:line="276" w:lineRule="auto"/>
      </w:pPr>
      <w:proofErr w:type="gramStart"/>
      <w:r>
        <w:t>Accrued</w:t>
      </w:r>
      <w:proofErr w:type="gramEnd"/>
      <w:r>
        <w:t xml:space="preserve"> income taxes sit outside other current liabilities for ENTG and inside it for QCOM. The policy is identical, taxes stay out of operating working capital, but for QCOM that meant subtracting them back out of a subtotal and for ENTG it means not adding them. Reusing QCOM's configuration would have removed them twice.</w:t>
      </w:r>
    </w:p>
    <w:p w14:paraId="39077E06" w14:textId="77777777" w:rsidR="00A25A4E" w:rsidRDefault="00000000">
      <w:pPr>
        <w:pStyle w:val="ListParagraph"/>
        <w:numPr>
          <w:ilvl w:val="0"/>
          <w:numId w:val="1"/>
        </w:numPr>
        <w:spacing w:after="80" w:line="276" w:lineRule="auto"/>
      </w:pPr>
      <w:r>
        <w:t>Reported effective tax rates of 16%, negative 6%, 9%, and 8% are struck after interest on a company carrying $3.7B to $5.8B of debt. Applying them to EBIT in an unlevered model would have counted the interest shield in the cash flows and again in the WACC.</w:t>
      </w:r>
    </w:p>
    <w:p w14:paraId="6F7A89B0" w14:textId="77777777" w:rsidR="00A25A4E" w:rsidRDefault="00000000">
      <w:pPr>
        <w:spacing w:after="60" w:line="276" w:lineRule="auto"/>
      </w:pPr>
      <w:r>
        <w:t>The first two were caught by building diagnostics before trusting the extract, which is the same habit that surfaced the AMD and MRVL D&amp;A failures earlier in this project. The last three were caught by dumping the available tags and reconciling them against a subtotal on the face of the filing rather than assuming ENTG tags its balance sheet the way QCOM does.</w:t>
      </w:r>
    </w:p>
    <w:sectPr w:rsidR="00A25A4E">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B909BE"/>
    <w:multiLevelType w:val="hybridMultilevel"/>
    <w:tmpl w:val="34CCE90E"/>
    <w:lvl w:ilvl="0" w:tplc="4BB488C6">
      <w:start w:val="1"/>
      <w:numFmt w:val="bullet"/>
      <w:lvlText w:val="●"/>
      <w:lvlJc w:val="left"/>
      <w:pPr>
        <w:ind w:left="720" w:hanging="360"/>
      </w:pPr>
    </w:lvl>
    <w:lvl w:ilvl="1" w:tplc="872C4B54">
      <w:start w:val="1"/>
      <w:numFmt w:val="bullet"/>
      <w:lvlText w:val="○"/>
      <w:lvlJc w:val="left"/>
      <w:pPr>
        <w:ind w:left="1440" w:hanging="360"/>
      </w:pPr>
    </w:lvl>
    <w:lvl w:ilvl="2" w:tplc="342A9CAE">
      <w:start w:val="1"/>
      <w:numFmt w:val="bullet"/>
      <w:lvlText w:val="■"/>
      <w:lvlJc w:val="left"/>
      <w:pPr>
        <w:ind w:left="2160" w:hanging="360"/>
      </w:pPr>
    </w:lvl>
    <w:lvl w:ilvl="3" w:tplc="5B2ABA74">
      <w:start w:val="1"/>
      <w:numFmt w:val="bullet"/>
      <w:lvlText w:val="●"/>
      <w:lvlJc w:val="left"/>
      <w:pPr>
        <w:ind w:left="2880" w:hanging="360"/>
      </w:pPr>
    </w:lvl>
    <w:lvl w:ilvl="4" w:tplc="9C8AE6D4">
      <w:start w:val="1"/>
      <w:numFmt w:val="bullet"/>
      <w:lvlText w:val="○"/>
      <w:lvlJc w:val="left"/>
      <w:pPr>
        <w:ind w:left="3600" w:hanging="360"/>
      </w:pPr>
    </w:lvl>
    <w:lvl w:ilvl="5" w:tplc="0DB64468">
      <w:start w:val="1"/>
      <w:numFmt w:val="bullet"/>
      <w:lvlText w:val="■"/>
      <w:lvlJc w:val="left"/>
      <w:pPr>
        <w:ind w:left="4320" w:hanging="360"/>
      </w:pPr>
    </w:lvl>
    <w:lvl w:ilvl="6" w:tplc="BD945126">
      <w:start w:val="1"/>
      <w:numFmt w:val="bullet"/>
      <w:lvlText w:val="●"/>
      <w:lvlJc w:val="left"/>
      <w:pPr>
        <w:ind w:left="5040" w:hanging="360"/>
      </w:pPr>
    </w:lvl>
    <w:lvl w:ilvl="7" w:tplc="7C8C9E8A">
      <w:start w:val="1"/>
      <w:numFmt w:val="bullet"/>
      <w:lvlText w:val="●"/>
      <w:lvlJc w:val="left"/>
      <w:pPr>
        <w:ind w:left="5760" w:hanging="360"/>
      </w:pPr>
    </w:lvl>
    <w:lvl w:ilvl="8" w:tplc="9E0A9256">
      <w:start w:val="1"/>
      <w:numFmt w:val="bullet"/>
      <w:lvlText w:val="●"/>
      <w:lvlJc w:val="left"/>
      <w:pPr>
        <w:ind w:left="6480" w:hanging="360"/>
      </w:pPr>
    </w:lvl>
  </w:abstractNum>
  <w:num w:numId="1" w16cid:durableId="11157140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5A4E"/>
    <w:rsid w:val="00237862"/>
    <w:rsid w:val="006F66AE"/>
    <w:rsid w:val="00A25A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75EC0"/>
  <w15:docId w15:val="{29C1EEB4-E320-4017-A22C-16F886520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2540</Words>
  <Characters>14483</Characters>
  <Application>Microsoft Office Word</Application>
  <DocSecurity>0</DocSecurity>
  <Lines>120</Lines>
  <Paragraphs>33</Paragraphs>
  <ScaleCrop>false</ScaleCrop>
  <Company/>
  <LinksUpToDate>false</LinksUpToDate>
  <CharactersWithSpaces>16990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Kaundinya, Agnivesh</cp:lastModifiedBy>
  <cp:revision>2</cp:revision>
  <dcterms:created xsi:type="dcterms:W3CDTF">2026-07-19T17:30:00Z</dcterms:created>
  <dcterms:modified xsi:type="dcterms:W3CDTF">2026-07-19T17:34:00Z</dcterms:modified>
</cp:coreProperties>
</file>