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E9B29" w14:textId="549F06A8" w:rsidR="004E4275" w:rsidRDefault="008371EE" w:rsidP="00A75364">
      <w:pPr>
        <w:jc w:val="cente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Part 4 - Business Insights</w:t>
      </w:r>
    </w:p>
    <w:p w14:paraId="279ECBB2" w14:textId="77777777" w:rsidR="00A75364" w:rsidRDefault="00A75364" w:rsidP="00A75364">
      <w:pPr>
        <w:jc w:val="center"/>
        <w:rPr>
          <w:rFonts w:ascii="Times New Roman" w:hAnsi="Times New Roman" w:cs="Times New Roman"/>
          <w:b/>
          <w:bCs/>
          <w:sz w:val="28"/>
          <w:szCs w:val="28"/>
          <w:u w:val="single"/>
          <w:lang w:val="en-US"/>
        </w:rPr>
      </w:pPr>
    </w:p>
    <w:p w14:paraId="1FFDF94B" w14:textId="591B46D4" w:rsidR="00A75364" w:rsidRPr="00122AC4" w:rsidRDefault="00A75364" w:rsidP="00122AC4">
      <w:pPr>
        <w:jc w:val="both"/>
        <w:rPr>
          <w:rFonts w:ascii="Times New Roman" w:hAnsi="Times New Roman" w:cs="Times New Roman"/>
          <w:u w:val="single"/>
          <w:lang w:val="en-US"/>
        </w:rPr>
      </w:pPr>
      <w:r w:rsidRPr="00122AC4">
        <w:rPr>
          <w:rFonts w:ascii="Times New Roman" w:hAnsi="Times New Roman" w:cs="Times New Roman"/>
          <w:u w:val="single"/>
          <w:lang w:val="en-US"/>
        </w:rPr>
        <w:t>Key Business Insights</w:t>
      </w:r>
    </w:p>
    <w:p w14:paraId="38EFE305" w14:textId="66448675" w:rsidR="00A75364" w:rsidRPr="00122AC4" w:rsidRDefault="00A75364" w:rsidP="00122AC4">
      <w:pPr>
        <w:pStyle w:val="ListParagraph"/>
        <w:numPr>
          <w:ilvl w:val="0"/>
          <w:numId w:val="1"/>
        </w:numPr>
        <w:jc w:val="both"/>
        <w:rPr>
          <w:rFonts w:ascii="Times New Roman" w:hAnsi="Times New Roman" w:cs="Times New Roman"/>
          <w:lang w:val="en-US"/>
        </w:rPr>
      </w:pPr>
      <w:r w:rsidRPr="00122AC4">
        <w:rPr>
          <w:rFonts w:ascii="Times New Roman" w:hAnsi="Times New Roman" w:cs="Times New Roman"/>
        </w:rPr>
        <w:t>Total sales grew from $2.26 million in 2011 to $4.30 million in 2014, representing a 90.3% increase over the four-year period, with year-over-year growth rates of 18.5% (2012), 27.2% (2013), and 26.3% (2014). Profit margins also improved steadily, rising from 11.0% in 2011 to 11.9% in 2013, before stabilising at 11.7% in 2014, indicating that the company is not only growing its top line but also becoming marginally more efficient at converting sales into profit. The line chart on the dashboard shows both sales and profit trending upward across the 48-month period, confirming that the growth is sustained rather than driven by a single anomalous quarter. This trajectory suggests that the company's current business model is working and that continued investment in growth is justified.</w:t>
      </w:r>
    </w:p>
    <w:p w14:paraId="03892A21" w14:textId="094CFFC4" w:rsidR="00A75364" w:rsidRPr="00122AC4" w:rsidRDefault="00A75364" w:rsidP="00122AC4">
      <w:pPr>
        <w:pStyle w:val="ListParagraph"/>
        <w:numPr>
          <w:ilvl w:val="0"/>
          <w:numId w:val="1"/>
        </w:numPr>
        <w:jc w:val="both"/>
        <w:rPr>
          <w:rFonts w:ascii="Times New Roman" w:hAnsi="Times New Roman" w:cs="Times New Roman"/>
          <w:lang w:val="en-US"/>
        </w:rPr>
      </w:pPr>
      <w:r w:rsidRPr="00122AC4">
        <w:rPr>
          <w:rFonts w:ascii="Times New Roman" w:hAnsi="Times New Roman" w:cs="Times New Roman"/>
        </w:rPr>
        <w:t>Technology generated $4.74 million in sales (37.5% of total revenue) and $663,779 in profit, yielding a 14.0% profit margin that outperforms the company-wide average of 11.6%. Within Technology, the Copiers sub-category alone contributed $258,568 in profit at a 17.1% margin, and Accessories added $129,626 at 17.3%, making them two of the most profitable product lines in the entire portfolio. By contrast, Furniture, despite generating $4.11 million in sales (32.5% of revenue), produced only $285,205 in profit at a 6.9% margin — roughly half the profitability of Technology. The column chart on the dashboard clearly visualises this disparity, and the matrix with conditional colouring makes the contrast immediately visible to executives: Technology cells are green, Furniture cells are pale.</w:t>
      </w:r>
    </w:p>
    <w:p w14:paraId="3B9B1121" w14:textId="6F64125B" w:rsidR="00A75364" w:rsidRPr="00122AC4" w:rsidRDefault="00A75364" w:rsidP="00122AC4">
      <w:pPr>
        <w:pStyle w:val="ListParagraph"/>
        <w:numPr>
          <w:ilvl w:val="0"/>
          <w:numId w:val="1"/>
        </w:numPr>
        <w:jc w:val="both"/>
        <w:rPr>
          <w:rFonts w:ascii="Times New Roman" w:hAnsi="Times New Roman" w:cs="Times New Roman"/>
          <w:lang w:val="en-US"/>
        </w:rPr>
      </w:pPr>
      <w:r w:rsidRPr="00122AC4">
        <w:rPr>
          <w:rFonts w:ascii="Times New Roman" w:hAnsi="Times New Roman" w:cs="Times New Roman"/>
        </w:rPr>
        <w:t>The Consumer segment accounts for $6.51 million in sales, representing 51.5% of total revenue — more than the Corporate ($3.82 million, 30.3%) and Home Office ($2.31 million, 18.3%) segments combined in terms of sales contribution. However, the profit margins across all three segments are remarkably similar: Consumer at 11.5%, Corporate at 11.5%, and Home Office at 12.0%, indicating that no single segment is disproportionately more or less profitable than the others. The donut chart on the dashboard shows Consumer as the largest slice, and the matrix confirms that the margin spread is less than one percentage point. This suggests that the company's pricing and cost structure is consistent across customer types, and that growth in any segment would contribute proportionally to the bottom line.</w:t>
      </w:r>
    </w:p>
    <w:p w14:paraId="290F4056" w14:textId="200FE5A4" w:rsidR="00A75364" w:rsidRPr="00122AC4" w:rsidRDefault="00A75364" w:rsidP="00122AC4">
      <w:pPr>
        <w:pStyle w:val="ListParagraph"/>
        <w:numPr>
          <w:ilvl w:val="0"/>
          <w:numId w:val="1"/>
        </w:numPr>
        <w:jc w:val="both"/>
        <w:rPr>
          <w:rFonts w:ascii="Times New Roman" w:hAnsi="Times New Roman" w:cs="Times New Roman"/>
          <w:lang w:val="en-US"/>
        </w:rPr>
      </w:pPr>
      <w:r w:rsidRPr="00122AC4">
        <w:rPr>
          <w:rFonts w:ascii="Times New Roman" w:hAnsi="Times New Roman" w:cs="Times New Roman"/>
        </w:rPr>
        <w:t xml:space="preserve">APAC generated $3.59 million in sales and $436,000 in profit at a 12.2% margin, making it the top-performing market on both absolute profit and revenue. The EU market followed closely with $372,830 in profit at a 12.7% margin, and the US contributed $286,397 at 12.5%. In contrast, the EMEA market produced only $43,898 in profit on $806,161 in sales, yielding a margin of 5.4% — less than half the company-wide average of 11.6%. The bar chart for Profit by Market on the dashboard makes this disparity immediately visible, with EMEA's bar appearing noticeably shorter relative to its sales volume. With 40 countries and 2,462 orders in EMEA, the low margin </w:t>
      </w:r>
      <w:r w:rsidRPr="00122AC4">
        <w:rPr>
          <w:rFonts w:ascii="Times New Roman" w:hAnsi="Times New Roman" w:cs="Times New Roman"/>
        </w:rPr>
        <w:lastRenderedPageBreak/>
        <w:t>suggests systemic pricing or cost issues in that market rather than a lack of customer demand.</w:t>
      </w:r>
    </w:p>
    <w:p w14:paraId="430921B1" w14:textId="6AE2C315" w:rsidR="00A75364" w:rsidRPr="00122AC4" w:rsidRDefault="00A75364" w:rsidP="00122AC4">
      <w:pPr>
        <w:pStyle w:val="ListParagraph"/>
        <w:numPr>
          <w:ilvl w:val="0"/>
          <w:numId w:val="1"/>
        </w:numPr>
        <w:jc w:val="both"/>
        <w:rPr>
          <w:rFonts w:ascii="Times New Roman" w:hAnsi="Times New Roman" w:cs="Times New Roman"/>
          <w:lang w:val="en-US"/>
        </w:rPr>
      </w:pPr>
      <w:r w:rsidRPr="00122AC4">
        <w:rPr>
          <w:rFonts w:ascii="Times New Roman" w:hAnsi="Times New Roman" w:cs="Times New Roman"/>
        </w:rPr>
        <w:t>Transactions with no discount achieved a 25.3% profit margin, while transactions with 1–20% discounts dropped to 13.7%, and those with 21–40% discounts turned negative at -17.3%. At discount levels of 41–60%, the margin collapses to -57.6%, and at 61% or higher, it reaches -138.6%, meaning the company loses more than the entire sales value on these transactions. The Tables sub-category illustrates this clearly: it generated $757,042 in sales but lost $64,083 at a -8.5% margin, with 57.6% of Tables transactions being loss-making and an average discount rate of 29.1%. The matrix on the dashboard shows Tables highlighted in red, and the drill-down column chart confirms that aggressive discounting on Furniture products is the primary driver of this loss.</w:t>
      </w:r>
    </w:p>
    <w:p w14:paraId="2BBE7BD2" w14:textId="77777777" w:rsidR="00A75364" w:rsidRPr="00122AC4" w:rsidRDefault="00A75364" w:rsidP="00122AC4">
      <w:pPr>
        <w:jc w:val="both"/>
        <w:rPr>
          <w:rFonts w:ascii="Times New Roman" w:hAnsi="Times New Roman" w:cs="Times New Roman"/>
          <w:lang w:val="en-US"/>
        </w:rPr>
      </w:pPr>
    </w:p>
    <w:p w14:paraId="07F6AF25" w14:textId="6448D4DE" w:rsidR="00A75364" w:rsidRPr="00122AC4" w:rsidRDefault="00A75364" w:rsidP="00122AC4">
      <w:pPr>
        <w:jc w:val="both"/>
        <w:rPr>
          <w:rFonts w:ascii="Times New Roman" w:hAnsi="Times New Roman" w:cs="Times New Roman"/>
          <w:u w:val="single"/>
          <w:lang w:val="en-US"/>
        </w:rPr>
      </w:pPr>
      <w:r w:rsidRPr="00122AC4">
        <w:rPr>
          <w:rFonts w:ascii="Times New Roman" w:hAnsi="Times New Roman" w:cs="Times New Roman"/>
          <w:u w:val="single"/>
          <w:lang w:val="en-US"/>
        </w:rPr>
        <w:t>Business Risks:</w:t>
      </w:r>
    </w:p>
    <w:p w14:paraId="330167A2" w14:textId="6ECFB93B" w:rsidR="00A75364" w:rsidRPr="00122AC4" w:rsidRDefault="00A75364" w:rsidP="00122AC4">
      <w:pPr>
        <w:pStyle w:val="ListParagraph"/>
        <w:numPr>
          <w:ilvl w:val="0"/>
          <w:numId w:val="2"/>
        </w:numPr>
        <w:jc w:val="both"/>
        <w:rPr>
          <w:rFonts w:ascii="Times New Roman" w:hAnsi="Times New Roman" w:cs="Times New Roman"/>
          <w:lang w:val="en-US"/>
        </w:rPr>
      </w:pPr>
      <w:r w:rsidRPr="00122AC4">
        <w:rPr>
          <w:rFonts w:ascii="Times New Roman" w:hAnsi="Times New Roman" w:cs="Times New Roman"/>
        </w:rPr>
        <w:t>12,544 out of 51,290 transactions (24.5%) recorded negative profit, and these loss-making transactions collectively totalled -$920,646, offsetting 38.6% of the $2.39 million in positive profit generated by the remaining transactions. More concerning still, 2,253 of these loss-making transactions had losses exceeding 100% of the sales value, meaning the company paid more in costs than it earned in revenue on those orders. The Profit Flag filter on the dashboard allows executives to isolate these transactions by year, market, and product, revealing that the losses are concentrated in high-discount Furniture orders. Without intervention, this pattern of unprofitable selling could worsen as the business scales, because the loss rate is scaling proportionally with revenue growth rather than improving.</w:t>
      </w:r>
    </w:p>
    <w:p w14:paraId="50121DE7" w14:textId="0BB63133" w:rsidR="00A75364" w:rsidRPr="00122AC4" w:rsidRDefault="00A75364" w:rsidP="00122AC4">
      <w:pPr>
        <w:pStyle w:val="ListParagraph"/>
        <w:numPr>
          <w:ilvl w:val="0"/>
          <w:numId w:val="2"/>
        </w:numPr>
        <w:jc w:val="both"/>
        <w:rPr>
          <w:rFonts w:ascii="Times New Roman" w:hAnsi="Times New Roman" w:cs="Times New Roman"/>
          <w:lang w:val="en-US"/>
        </w:rPr>
      </w:pPr>
      <w:r w:rsidRPr="00122AC4">
        <w:rPr>
          <w:rFonts w:ascii="Times New Roman" w:hAnsi="Times New Roman" w:cs="Times New Roman"/>
        </w:rPr>
        <w:t>Despite generating $806,161 in sales across 40 countries and 2,462 orders, the EMEA market produced only $43,898 in profit at a 5.4% margin — less than half the 11.6% company-wide average and dramatically lower than APAC's 12.2% or the EU's 12.7%. This suggests that the cost of doing business in EMEA (including shipping, discounts, and local operational costs) is disproportionately high relative to the revenue generated. The filled map on the dashboard shows EMEA countries as moderate-to-light in colour, and the Profit by Market bar chart shows EMEA's profit bar as disproportionately small compared to its sales volume. If the company continues to invest resources into EMEA without addressing the underlying cost structure, it risks compounding losses in a market that may not be structurally capable of delivering margins comparable to its other regions.</w:t>
      </w:r>
    </w:p>
    <w:p w14:paraId="785044B9" w14:textId="24A74E22" w:rsidR="00A75364" w:rsidRPr="00122AC4" w:rsidRDefault="00A75364" w:rsidP="00122AC4">
      <w:pPr>
        <w:pStyle w:val="ListParagraph"/>
        <w:numPr>
          <w:ilvl w:val="0"/>
          <w:numId w:val="2"/>
        </w:numPr>
        <w:jc w:val="both"/>
        <w:rPr>
          <w:rFonts w:ascii="Times New Roman" w:hAnsi="Times New Roman" w:cs="Times New Roman"/>
          <w:lang w:val="en-US"/>
        </w:rPr>
      </w:pPr>
      <w:r w:rsidRPr="00122AC4">
        <w:rPr>
          <w:rFonts w:ascii="Times New Roman" w:hAnsi="Times New Roman" w:cs="Times New Roman"/>
        </w:rPr>
        <w:t xml:space="preserve">The dashboard data reveals a clear and alarming relationship between discount depth and profitability: 11,328 transactions (22.1% of all orders) carried discounts above 20%, and collectively these transactions generated -$790,462 in profit, meaning the company actively lost money on more than a fifth of its sales volume. The 2,144 transactions with discounts of 61% or higher alone produced -$239,163 in losses at a -138.6% margin. The discount analysis shows that even moderate discounts of 21–40% push transactions into negative profitability, yet the company continues to apply these rates across multiple sub-categories, particularly Tables, Bookcases, and Machines. </w:t>
      </w:r>
      <w:r w:rsidRPr="00122AC4">
        <w:rPr>
          <w:rFonts w:ascii="Times New Roman" w:hAnsi="Times New Roman" w:cs="Times New Roman"/>
        </w:rPr>
        <w:lastRenderedPageBreak/>
        <w:t>This pattern risks training customers to expect deep discounts, making it difficult to return to full-price selling and permanently eroding the company's pricing power.</w:t>
      </w:r>
    </w:p>
    <w:p w14:paraId="1DB23024" w14:textId="77777777" w:rsidR="00A75364" w:rsidRPr="00122AC4" w:rsidRDefault="00A75364" w:rsidP="00122AC4">
      <w:pPr>
        <w:jc w:val="both"/>
        <w:rPr>
          <w:rFonts w:ascii="Times New Roman" w:hAnsi="Times New Roman" w:cs="Times New Roman"/>
          <w:u w:val="single"/>
          <w:lang w:val="en-US"/>
        </w:rPr>
      </w:pPr>
    </w:p>
    <w:p w14:paraId="0845A2A9" w14:textId="5B945334" w:rsidR="00A75364" w:rsidRPr="00122AC4" w:rsidRDefault="00A75364" w:rsidP="00122AC4">
      <w:pPr>
        <w:jc w:val="both"/>
        <w:rPr>
          <w:rFonts w:ascii="Times New Roman" w:hAnsi="Times New Roman" w:cs="Times New Roman"/>
          <w:u w:val="single"/>
          <w:lang w:val="en-US"/>
        </w:rPr>
      </w:pPr>
      <w:r w:rsidRPr="00122AC4">
        <w:rPr>
          <w:rFonts w:ascii="Times New Roman" w:hAnsi="Times New Roman" w:cs="Times New Roman"/>
          <w:u w:val="single"/>
          <w:lang w:val="en-US"/>
        </w:rPr>
        <w:t>Business Opportunities:</w:t>
      </w:r>
    </w:p>
    <w:p w14:paraId="7F124A10" w14:textId="2F9B12E8" w:rsidR="00A75364" w:rsidRPr="00122AC4" w:rsidRDefault="00122AC4" w:rsidP="00122AC4">
      <w:pPr>
        <w:pStyle w:val="ListParagraph"/>
        <w:numPr>
          <w:ilvl w:val="0"/>
          <w:numId w:val="3"/>
        </w:numPr>
        <w:jc w:val="both"/>
        <w:rPr>
          <w:rFonts w:ascii="Times New Roman" w:hAnsi="Times New Roman" w:cs="Times New Roman"/>
          <w:lang w:val="en-US"/>
        </w:rPr>
      </w:pPr>
      <w:r w:rsidRPr="00122AC4">
        <w:rPr>
          <w:rFonts w:ascii="Times New Roman" w:hAnsi="Times New Roman" w:cs="Times New Roman"/>
        </w:rPr>
        <w:t>Canada achieved the highest profit margin of any market at 26.6% — more than double the company-wide average of 11.6% — yet generated only $66,928 in sales across 201 orders, making it the smallest market by revenue. This combination of exceptional profitability and low penetration suggests that Canadian customers are willing to pay closer to full price, and that the cost structure in Canada is favourable for the company's product mix. By increasing marketing investment, expanding product availability, and building local partnerships in Canada, the company could multiply its sales volume in this market while maintaining its high margins. Even a modest increase to $500,000 in Canadian sales (still well below the US market's $2.3 million) at the current 26.6% margin would generate approximately $133,000 in profit — a 648% increase over current Canadian profit of $17,817.</w:t>
      </w:r>
    </w:p>
    <w:p w14:paraId="50E297CF" w14:textId="1E25BB3C" w:rsidR="00122AC4" w:rsidRPr="00122AC4" w:rsidRDefault="00122AC4" w:rsidP="00122AC4">
      <w:pPr>
        <w:pStyle w:val="ListParagraph"/>
        <w:numPr>
          <w:ilvl w:val="0"/>
          <w:numId w:val="3"/>
        </w:numPr>
        <w:jc w:val="both"/>
        <w:rPr>
          <w:rFonts w:ascii="Times New Roman" w:hAnsi="Times New Roman" w:cs="Times New Roman"/>
          <w:lang w:val="en-US"/>
        </w:rPr>
      </w:pPr>
      <w:r w:rsidRPr="00122AC4">
        <w:rPr>
          <w:rFonts w:ascii="Times New Roman" w:hAnsi="Times New Roman" w:cs="Times New Roman"/>
        </w:rPr>
        <w:t>Countries such as India ($589,650 in sales at a 21.9% margin), China ($700,562 at 21.5%), and the United Kingdom ($528,576 at 21.2%) have all achieved margins nearly double the company average while maintaining substantial sales volumes. The filled map on the dashboard shows these countries in darker shades, and the matrix confirms their strong performance. These markets demonstrate that the company's products can command higher margins when pricing discipline is maintained and discounts are kept low — the average discount rate in these countries is significantly lower than in loss-making markets like Indonesia (29.7% average discount, 3.9% margin). By studying the pricing strategies, customer mix, and operational practices in these high-margin countries and applying them to underperforming markets, the company could lift overall margins from 11.6% toward 15–18%, which would add approximately $430,000–$670,000 in annual profit on current sales volume.</w:t>
      </w:r>
    </w:p>
    <w:p w14:paraId="159AFC62" w14:textId="7757FA94" w:rsidR="00122AC4" w:rsidRPr="00122AC4" w:rsidRDefault="00122AC4" w:rsidP="00122AC4">
      <w:pPr>
        <w:pStyle w:val="ListParagraph"/>
        <w:numPr>
          <w:ilvl w:val="0"/>
          <w:numId w:val="3"/>
        </w:numPr>
        <w:jc w:val="both"/>
        <w:rPr>
          <w:rFonts w:ascii="Times New Roman" w:hAnsi="Times New Roman" w:cs="Times New Roman"/>
          <w:lang w:val="en-US"/>
        </w:rPr>
      </w:pPr>
      <w:r w:rsidRPr="00122AC4">
        <w:rPr>
          <w:rFonts w:ascii="Times New Roman" w:hAnsi="Times New Roman" w:cs="Times New Roman"/>
        </w:rPr>
        <w:t>The data shows that the Tables sub-category lost $64,083 on $757,042 in sales primarily because of aggressive discounting (average 29.1%, with 174 transactions discounted at 50% or higher). If the company reduced the average discount on Tables from 29.1% to 15% — still a meaningful discount — the additional profit contribution would be approximately $106,000, converting Tables from a -$64K loss-maker to a +$42K profit generator. Similarly, Bookcases generated $1.47 million in sales but only $161,924 in profit at an 11.0% margin; with more disciplined discounting, this sub-category could reach margins of 15% or higher, adding approximately $58,000 in annual profit. The dashboard's Profit by Category drill-down chart and the discount analysis together provide executives with the evidence needed to implement a discount policy that caps Furniture discounts at 20% and eliminates the 50%+ discounts that are driving losses.</w:t>
      </w:r>
    </w:p>
    <w:p w14:paraId="31B12F17" w14:textId="77777777" w:rsidR="00122AC4" w:rsidRDefault="00122AC4" w:rsidP="00122AC4">
      <w:pPr>
        <w:jc w:val="both"/>
        <w:rPr>
          <w:rFonts w:ascii="Times New Roman" w:hAnsi="Times New Roman" w:cs="Times New Roman"/>
          <w:lang w:val="en-US"/>
        </w:rPr>
      </w:pPr>
    </w:p>
    <w:p w14:paraId="616CB100" w14:textId="73CF3731" w:rsidR="008371EE" w:rsidRDefault="008371EE">
      <w:pPr>
        <w:rPr>
          <w:rFonts w:ascii="Times New Roman" w:hAnsi="Times New Roman" w:cs="Times New Roman"/>
          <w:lang w:val="en-US"/>
        </w:rPr>
      </w:pPr>
      <w:r>
        <w:rPr>
          <w:rFonts w:ascii="Times New Roman" w:hAnsi="Times New Roman" w:cs="Times New Roman"/>
          <w:lang w:val="en-US"/>
        </w:rPr>
        <w:br w:type="page"/>
      </w:r>
    </w:p>
    <w:p w14:paraId="6F853CAC" w14:textId="2049A489" w:rsidR="00122AC4" w:rsidRDefault="008371EE" w:rsidP="008371EE">
      <w:pPr>
        <w:jc w:val="center"/>
        <w:rPr>
          <w:rFonts w:ascii="Times New Roman" w:hAnsi="Times New Roman" w:cs="Times New Roman"/>
          <w:b/>
          <w:bCs/>
          <w:sz w:val="28"/>
          <w:szCs w:val="28"/>
          <w:u w:val="single"/>
          <w:lang w:val="en-US"/>
        </w:rPr>
      </w:pPr>
      <w:r w:rsidRPr="008371EE">
        <w:rPr>
          <w:rFonts w:ascii="Times New Roman" w:hAnsi="Times New Roman" w:cs="Times New Roman"/>
          <w:b/>
          <w:bCs/>
          <w:sz w:val="28"/>
          <w:szCs w:val="28"/>
          <w:u w:val="single"/>
          <w:lang w:val="en-US"/>
        </w:rPr>
        <w:lastRenderedPageBreak/>
        <w:t xml:space="preserve">Part 5 – Business </w:t>
      </w:r>
      <w:r>
        <w:rPr>
          <w:rFonts w:ascii="Times New Roman" w:hAnsi="Times New Roman" w:cs="Times New Roman"/>
          <w:b/>
          <w:bCs/>
          <w:sz w:val="28"/>
          <w:szCs w:val="28"/>
          <w:u w:val="single"/>
          <w:lang w:val="en-US"/>
        </w:rPr>
        <w:t>Recommendation</w:t>
      </w:r>
    </w:p>
    <w:p w14:paraId="35538424" w14:textId="77777777" w:rsidR="008371EE" w:rsidRDefault="008371EE" w:rsidP="008371EE">
      <w:pPr>
        <w:jc w:val="center"/>
        <w:rPr>
          <w:rFonts w:ascii="Times New Roman" w:hAnsi="Times New Roman" w:cs="Times New Roman"/>
          <w:b/>
          <w:bCs/>
          <w:sz w:val="28"/>
          <w:szCs w:val="28"/>
          <w:u w:val="single"/>
          <w:lang w:val="en-US"/>
        </w:rPr>
      </w:pPr>
    </w:p>
    <w:p w14:paraId="288CB8BC" w14:textId="5F2060E7" w:rsidR="008371EE" w:rsidRPr="0030440D" w:rsidRDefault="008371EE" w:rsidP="008371EE">
      <w:pPr>
        <w:pStyle w:val="ListParagraph"/>
        <w:numPr>
          <w:ilvl w:val="0"/>
          <w:numId w:val="4"/>
        </w:numPr>
        <w:jc w:val="both"/>
        <w:rPr>
          <w:rFonts w:ascii="Times New Roman" w:hAnsi="Times New Roman" w:cs="Times New Roman"/>
          <w:lang w:val="en-US"/>
        </w:rPr>
      </w:pPr>
      <w:r w:rsidRPr="0030440D">
        <w:rPr>
          <w:rFonts w:ascii="Times New Roman" w:hAnsi="Times New Roman" w:cs="Times New Roman"/>
        </w:rPr>
        <w:t>Implement a company-wide discount policy prohibiting any transaction from receiving a discount greater than 20%, enforced at the point of sale. Discounts above 50% should be eliminated entirely — the data shows they are guaranteed loss-makers.</w:t>
      </w:r>
      <w:r w:rsidRPr="0030440D">
        <w:rPr>
          <w:rFonts w:ascii="Times New Roman" w:hAnsi="Times New Roman" w:cs="Times New Roman"/>
        </w:rPr>
        <w:t xml:space="preserve"> </w:t>
      </w:r>
      <w:r w:rsidRPr="0030440D">
        <w:rPr>
          <w:rFonts w:ascii="Times New Roman" w:hAnsi="Times New Roman" w:cs="Times New Roman"/>
        </w:rPr>
        <w:t>The discount analysis reveals that no-discount transactions achieved a 25.3% profit margin, while transactions at 21–40% discounts turned negative at -17.3%, and those above 61% reached -138.6% margin. The 11,328 transactions carrying discounts above 20% collectively lost $814,682. Within Furniture specifically, no-discount transactions achieved a 24.2% margin, while those at 21–40% dropped to -15.7%, and those above 61% reached -155.8%. The matrix on the dashboard shows Tables highlighted in red at -8.5% margin, with an average discount rate of 29.1% and 174 transactions discounted at 50% or higher.</w:t>
      </w:r>
      <w:r w:rsidRPr="0030440D">
        <w:rPr>
          <w:rFonts w:ascii="Times New Roman" w:hAnsi="Times New Roman" w:cs="Times New Roman"/>
        </w:rPr>
        <w:t xml:space="preserve"> </w:t>
      </w:r>
      <w:r w:rsidRPr="0030440D">
        <w:rPr>
          <w:rFonts w:ascii="Times New Roman" w:hAnsi="Times New Roman" w:cs="Times New Roman"/>
        </w:rPr>
        <w:t>Capping discounts at 20% could add approximately $116,000 in direct profit annually while eliminating $627,000 in losses, improving net profit from $1.47 million to approximately $2.09 million — a 43% increase.</w:t>
      </w:r>
    </w:p>
    <w:p w14:paraId="080DA298" w14:textId="505ADD6F" w:rsidR="008371EE" w:rsidRPr="0030440D" w:rsidRDefault="008371EE" w:rsidP="008371EE">
      <w:pPr>
        <w:pStyle w:val="ListParagraph"/>
        <w:numPr>
          <w:ilvl w:val="0"/>
          <w:numId w:val="4"/>
        </w:numPr>
        <w:jc w:val="both"/>
        <w:rPr>
          <w:rFonts w:ascii="Times New Roman" w:hAnsi="Times New Roman" w:cs="Times New Roman"/>
          <w:lang w:val="en-US"/>
        </w:rPr>
      </w:pPr>
      <w:r w:rsidRPr="0030440D">
        <w:rPr>
          <w:rFonts w:ascii="Times New Roman" w:hAnsi="Times New Roman" w:cs="Times New Roman"/>
        </w:rPr>
        <w:t>Increase investment in the Technology category — specifically Copiers and Accessories — through expanded inventory, targeted marketing, and dedicated sales focus. These two sub-categories deliver the highest profit margins in the portfolio and have shown accelerating year-over-year growth.</w:t>
      </w:r>
      <w:r w:rsidRPr="0030440D">
        <w:rPr>
          <w:rFonts w:ascii="Times New Roman" w:hAnsi="Times New Roman" w:cs="Times New Roman"/>
        </w:rPr>
        <w:t xml:space="preserve"> </w:t>
      </w:r>
      <w:r w:rsidRPr="0030440D">
        <w:rPr>
          <w:rFonts w:ascii="Times New Roman" w:hAnsi="Times New Roman" w:cs="Times New Roman"/>
        </w:rPr>
        <w:t>Technology generated $4.74 million in sales (37.5% of total) at a 14.0% margin, outperforming the 11.6% company-wide average. Technology sales grew 95.4% from 2011 ($827,652) to 2014 ($1,616,159), with accelerating annual growth rates of 23.7%, 24.8%, and 26.5%. Within Technology, Copiers contributed $258,568 in profit at a 17.1% margin and Accessories added $129,626 at 17.3% — both well above the company average. By contrast, Furniture generated $4.11 million in sales but only $285,205 in profit at a 6.9% margin, roughly half of Technology's profitability. The column chart and matrix on the dashboard make this disparity immediately visible.</w:t>
      </w:r>
      <w:r w:rsidRPr="0030440D">
        <w:rPr>
          <w:rFonts w:ascii="Times New Roman" w:hAnsi="Times New Roman" w:cs="Times New Roman"/>
        </w:rPr>
        <w:t xml:space="preserve"> </w:t>
      </w:r>
      <w:r w:rsidRPr="0030440D">
        <w:rPr>
          <w:rFonts w:ascii="Times New Roman" w:hAnsi="Times New Roman" w:cs="Times New Roman"/>
        </w:rPr>
        <w:t>Growing Technology sales from $1.62 million to $2.5 million at the current 14.5% margin would generate approximately $362,500 in profit — an increase of $127,572 over 2014 Technology profit.</w:t>
      </w:r>
    </w:p>
    <w:p w14:paraId="16768E8D" w14:textId="67069E8F" w:rsidR="008371EE" w:rsidRPr="0030440D" w:rsidRDefault="008371EE" w:rsidP="008371EE">
      <w:pPr>
        <w:pStyle w:val="ListParagraph"/>
        <w:numPr>
          <w:ilvl w:val="0"/>
          <w:numId w:val="4"/>
        </w:numPr>
        <w:jc w:val="both"/>
        <w:rPr>
          <w:rFonts w:ascii="Times New Roman" w:hAnsi="Times New Roman" w:cs="Times New Roman"/>
          <w:lang w:val="en-US"/>
        </w:rPr>
      </w:pPr>
      <w:r w:rsidRPr="0030440D">
        <w:rPr>
          <w:rFonts w:ascii="Times New Roman" w:hAnsi="Times New Roman" w:cs="Times New Roman"/>
        </w:rPr>
        <w:t>Commission a structural review of EMEA operations covering shipping costs, distributor margins, and discount policies. As an immediate action, reduce EMEA's average discount rate from 19.6% to the 10–15% range maintained by the EU and APAC — the company's most profitable markets.</w:t>
      </w:r>
      <w:r w:rsidRPr="0030440D">
        <w:rPr>
          <w:rFonts w:ascii="Times New Roman" w:hAnsi="Times New Roman" w:cs="Times New Roman"/>
        </w:rPr>
        <w:t xml:space="preserve"> </w:t>
      </w:r>
      <w:r w:rsidRPr="0030440D">
        <w:rPr>
          <w:rFonts w:ascii="Times New Roman" w:hAnsi="Times New Roman" w:cs="Times New Roman"/>
        </w:rPr>
        <w:t> The Profit by Market bar chart shows EMEA's profit bar as disproportionately small relative to its sales volume. EMEA generated $806,161 in sales but only $43,898 in profit at a 5.4% margin — less than half the 11.6% company-wide average and dramatically lower than APAC's 12.2% or the EU's 12.7%. The root cause is visible in the discount data: EMEA's average discount rate of 19.6% is nearly double the EU's 10.3% and significantly above APAC's 14.9%. The dashboard's discount analysis confirms that discounts above 20% push transactions into negative profitability, meaning EMEA is operating at a discount level that structurally prevents profitability.</w:t>
      </w:r>
      <w:r w:rsidRPr="0030440D">
        <w:rPr>
          <w:rFonts w:ascii="Times New Roman" w:hAnsi="Times New Roman" w:cs="Times New Roman"/>
        </w:rPr>
        <w:t xml:space="preserve"> </w:t>
      </w:r>
      <w:r w:rsidRPr="0030440D">
        <w:rPr>
          <w:rFonts w:ascii="Times New Roman" w:hAnsi="Times New Roman" w:cs="Times New Roman"/>
        </w:rPr>
        <w:t>Aligning EMEA's margin from 5.4% toward the 11–</w:t>
      </w:r>
      <w:r w:rsidRPr="0030440D">
        <w:rPr>
          <w:rFonts w:ascii="Times New Roman" w:hAnsi="Times New Roman" w:cs="Times New Roman"/>
        </w:rPr>
        <w:lastRenderedPageBreak/>
        <w:t>12% range achieved by APAC and EU would add approximately $45,000–$53,000 in annual profit on the market's current $806,161 in sales.</w:t>
      </w:r>
    </w:p>
    <w:p w14:paraId="213BCD65" w14:textId="3D7FCE32" w:rsidR="008371EE" w:rsidRPr="0030440D" w:rsidRDefault="008371EE" w:rsidP="008371EE">
      <w:pPr>
        <w:pStyle w:val="ListParagraph"/>
        <w:numPr>
          <w:ilvl w:val="0"/>
          <w:numId w:val="4"/>
        </w:numPr>
        <w:jc w:val="both"/>
        <w:rPr>
          <w:rFonts w:ascii="Times New Roman" w:hAnsi="Times New Roman" w:cs="Times New Roman"/>
          <w:lang w:val="en-US"/>
        </w:rPr>
      </w:pPr>
      <w:r w:rsidRPr="0030440D">
        <w:rPr>
          <w:rFonts w:ascii="Times New Roman" w:hAnsi="Times New Roman" w:cs="Times New Roman"/>
        </w:rPr>
        <w:t>Develop a dedicated 12-month growth plan for Canada including increased marketing spend, broader product availability, and potentially local distribution partnerships. Set a target of growing Canadian sales from $66,928 to at least $500,000, focusing on Technology and Office Supplies — the two highest-margin categories in Canada.</w:t>
      </w:r>
      <w:r w:rsidRPr="0030440D">
        <w:rPr>
          <w:rFonts w:ascii="Times New Roman" w:hAnsi="Times New Roman" w:cs="Times New Roman"/>
        </w:rPr>
        <w:t xml:space="preserve"> </w:t>
      </w:r>
      <w:r w:rsidRPr="0030440D">
        <w:rPr>
          <w:rFonts w:ascii="Times New Roman" w:hAnsi="Times New Roman" w:cs="Times New Roman"/>
        </w:rPr>
        <w:t>The filled map shows Canada as a very light shade (low sales), but the Profit by Market bar chart shows Canada with the highest margin of any market at 26.6% — more than double the 11.6% company average. Canada generated only $66,928 in sales across 201 orders, despite achieving exceptional margins across every category: Technology at 27.6%, Office Supplies at 26.5%, and Furniture at 24.7%. This contrasts with the US market, which generated $2.3 million in sales at a 12.5% margin — Canada is proving that the company's products can command significantly higher prices in that market, but the volume is negligible.</w:t>
      </w:r>
      <w:r w:rsidRPr="0030440D">
        <w:rPr>
          <w:rFonts w:ascii="Times New Roman" w:hAnsi="Times New Roman" w:cs="Times New Roman"/>
        </w:rPr>
        <w:t xml:space="preserve"> </w:t>
      </w:r>
      <w:r w:rsidRPr="0030440D">
        <w:rPr>
          <w:rFonts w:ascii="Times New Roman" w:hAnsi="Times New Roman" w:cs="Times New Roman"/>
        </w:rPr>
        <w:t>Growing Canadian sales to $500,000 at the current 26.6% margin would generate approximately $133,000 in profit — a 648% increase over the current $17,817. Even at a more conservative 20% margin, $500,000 in sales would yield $100,000 in profit.</w:t>
      </w:r>
    </w:p>
    <w:p w14:paraId="31EF538B" w14:textId="423C22C0" w:rsidR="008371EE" w:rsidRPr="0030440D" w:rsidRDefault="008371EE" w:rsidP="008371EE">
      <w:pPr>
        <w:pStyle w:val="ListParagraph"/>
        <w:numPr>
          <w:ilvl w:val="0"/>
          <w:numId w:val="4"/>
        </w:numPr>
        <w:jc w:val="both"/>
        <w:rPr>
          <w:rFonts w:ascii="Times New Roman" w:hAnsi="Times New Roman" w:cs="Times New Roman"/>
          <w:lang w:val="en-US"/>
        </w:rPr>
      </w:pPr>
      <w:r w:rsidRPr="0030440D">
        <w:rPr>
          <w:rFonts w:ascii="Times New Roman" w:hAnsi="Times New Roman" w:cs="Times New Roman"/>
        </w:rPr>
        <w:t>Conduct a comparative study of pricing, discount, and customer-mix practices in the highest-margin countries (Cuba at 24.5%, Japan at 24.1%, El Salvador at 23.7%, India at 21.9%, China at 21.5%, United Kingdom at 21.2%) and develop a pricing playbook for deployment in low-margin countries (Turkey at -90.7%, Philippines at -8.8%, Dominican Republic at -6.0%, Indonesia at 3.9%, Italy at 6.8%).</w:t>
      </w:r>
      <w:r w:rsidRPr="0030440D">
        <w:rPr>
          <w:rFonts w:ascii="Times New Roman" w:hAnsi="Times New Roman" w:cs="Times New Roman"/>
        </w:rPr>
        <w:t xml:space="preserve"> </w:t>
      </w:r>
      <w:r w:rsidRPr="0030440D">
        <w:rPr>
          <w:rFonts w:ascii="Times New Roman" w:hAnsi="Times New Roman" w:cs="Times New Roman"/>
        </w:rPr>
        <w:t>The filled map and matrix reveal an unmistakable pattern: the highest-margin countries maintain near-zero average discount rates, while the lowest-margin countries have extremely high discount rates. Cuba (24.5% margin) has a 0.0% average discount; Japan (24.1%) has 3.4%; El Salvador (23.7%) has 0.4%. Conversely, Turkey (-90.7% margin) has a 60.0% average discount; Philippines (-8.8%) has 34.6%; Indonesia (3.9%) has 29.7%. The company-wide discount analysis confirms this at the transaction level: no-discount transactions achieve 25.3% margin, while every discount band above 20% is unprofitable.</w:t>
      </w:r>
      <w:r w:rsidRPr="0030440D">
        <w:rPr>
          <w:rFonts w:ascii="Times New Roman" w:hAnsi="Times New Roman" w:cs="Times New Roman"/>
        </w:rPr>
        <w:t xml:space="preserve"> </w:t>
      </w:r>
      <w:r w:rsidRPr="0030440D">
        <w:rPr>
          <w:rFonts w:ascii="Times New Roman" w:hAnsi="Times New Roman" w:cs="Times New Roman"/>
        </w:rPr>
        <w:t>If all countries currently below the 11.6% company-wide average were lifted to match that average, the total profit improvement across all underperforming markets would be approximately $430,000–$670,000 annually.</w:t>
      </w:r>
    </w:p>
    <w:sectPr w:rsidR="008371EE" w:rsidRPr="00304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73F14"/>
    <w:multiLevelType w:val="hybridMultilevel"/>
    <w:tmpl w:val="240AE2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6DD7EE3"/>
    <w:multiLevelType w:val="hybridMultilevel"/>
    <w:tmpl w:val="7C4868F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37517F9"/>
    <w:multiLevelType w:val="hybridMultilevel"/>
    <w:tmpl w:val="7228DA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AAD0516"/>
    <w:multiLevelType w:val="hybridMultilevel"/>
    <w:tmpl w:val="7C8C73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89018258">
    <w:abstractNumId w:val="2"/>
  </w:num>
  <w:num w:numId="2" w16cid:durableId="110128209">
    <w:abstractNumId w:val="1"/>
  </w:num>
  <w:num w:numId="3" w16cid:durableId="1775664923">
    <w:abstractNumId w:val="0"/>
  </w:num>
  <w:num w:numId="4" w16cid:durableId="1544295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64"/>
    <w:rsid w:val="00122AC4"/>
    <w:rsid w:val="0030440D"/>
    <w:rsid w:val="00461628"/>
    <w:rsid w:val="004E4275"/>
    <w:rsid w:val="008371EE"/>
    <w:rsid w:val="00941787"/>
    <w:rsid w:val="009C5FDB"/>
    <w:rsid w:val="00A753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3B68"/>
  <w15:chartTrackingRefBased/>
  <w15:docId w15:val="{7A135E9A-E8C1-4E0D-B44C-10B565A1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364"/>
    <w:rPr>
      <w:rFonts w:eastAsiaTheme="majorEastAsia" w:cstheme="majorBidi"/>
      <w:color w:val="272727" w:themeColor="text1" w:themeTint="D8"/>
    </w:rPr>
  </w:style>
  <w:style w:type="paragraph" w:styleId="Title">
    <w:name w:val="Title"/>
    <w:basedOn w:val="Normal"/>
    <w:next w:val="Normal"/>
    <w:link w:val="TitleChar"/>
    <w:uiPriority w:val="10"/>
    <w:qFormat/>
    <w:rsid w:val="00A75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364"/>
    <w:pPr>
      <w:spacing w:before="160"/>
      <w:jc w:val="center"/>
    </w:pPr>
    <w:rPr>
      <w:i/>
      <w:iCs/>
      <w:color w:val="404040" w:themeColor="text1" w:themeTint="BF"/>
    </w:rPr>
  </w:style>
  <w:style w:type="character" w:customStyle="1" w:styleId="QuoteChar">
    <w:name w:val="Quote Char"/>
    <w:basedOn w:val="DefaultParagraphFont"/>
    <w:link w:val="Quote"/>
    <w:uiPriority w:val="29"/>
    <w:rsid w:val="00A75364"/>
    <w:rPr>
      <w:i/>
      <w:iCs/>
      <w:color w:val="404040" w:themeColor="text1" w:themeTint="BF"/>
    </w:rPr>
  </w:style>
  <w:style w:type="paragraph" w:styleId="ListParagraph">
    <w:name w:val="List Paragraph"/>
    <w:basedOn w:val="Normal"/>
    <w:uiPriority w:val="34"/>
    <w:qFormat/>
    <w:rsid w:val="00A75364"/>
    <w:pPr>
      <w:ind w:left="720"/>
      <w:contextualSpacing/>
    </w:pPr>
  </w:style>
  <w:style w:type="character" w:styleId="IntenseEmphasis">
    <w:name w:val="Intense Emphasis"/>
    <w:basedOn w:val="DefaultParagraphFont"/>
    <w:uiPriority w:val="21"/>
    <w:qFormat/>
    <w:rsid w:val="00A75364"/>
    <w:rPr>
      <w:i/>
      <w:iCs/>
      <w:color w:val="0F4761" w:themeColor="accent1" w:themeShade="BF"/>
    </w:rPr>
  </w:style>
  <w:style w:type="paragraph" w:styleId="IntenseQuote">
    <w:name w:val="Intense Quote"/>
    <w:basedOn w:val="Normal"/>
    <w:next w:val="Normal"/>
    <w:link w:val="IntenseQuoteChar"/>
    <w:uiPriority w:val="30"/>
    <w:qFormat/>
    <w:rsid w:val="00A75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364"/>
    <w:rPr>
      <w:i/>
      <w:iCs/>
      <w:color w:val="0F4761" w:themeColor="accent1" w:themeShade="BF"/>
    </w:rPr>
  </w:style>
  <w:style w:type="character" w:styleId="IntenseReference">
    <w:name w:val="Intense Reference"/>
    <w:basedOn w:val="DefaultParagraphFont"/>
    <w:uiPriority w:val="32"/>
    <w:qFormat/>
    <w:rsid w:val="00A753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Sipho Madlanga</dc:creator>
  <cp:keywords/>
  <dc:description/>
  <cp:lastModifiedBy>Sipho Madlanga</cp:lastModifiedBy>
  <cp:revision>4</cp:revision>
  <dcterms:created xsi:type="dcterms:W3CDTF">2026-10-28T20:31:00Z</dcterms:created>
  <dcterms:modified xsi:type="dcterms:W3CDTF">2026-10-28T20:52:00Z</dcterms:modified>
</cp:coreProperties>
</file>