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default"/>
              </w:rPr>
              <w:t>department</w:t>
            </w:r>
            <w:r>
              <w:rPr>
                <w:rFonts w:hint="eastAsia"/>
                <w:lang w:val="en-US" w:eastAsia="zh-CN"/>
              </w:rPr>
              <w:t>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default"/>
              </w:rPr>
              <w:t>person</w:t>
            </w:r>
            <w:r>
              <w:rPr>
                <w:rFonts w:hint="eastAsia"/>
                <w:lang w:val="en-US" w:eastAsia="zh-CN"/>
              </w:rPr>
              <w:t>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default"/>
                <w:vertAlign w:val="baseline"/>
                <w:lang w:val="en-US" w:eastAsia="zh-CN"/>
              </w:rPr>
              <w:t>auditPerson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</w:rPr>
              <w:t>date</w:t>
            </w:r>
            <w:r>
              <w:rPr>
                <w:rFonts w:hint="eastAsia"/>
                <w:lang w:val="en-US" w:eastAsia="zh-CN"/>
              </w:rPr>
              <w:t>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31A8"/>
    <w:rsid w:val="43C06DA5"/>
    <w:rsid w:val="4A9C3E11"/>
    <w:rsid w:val="54D2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小尘哥</cp:lastModifiedBy>
  <dcterms:modified xsi:type="dcterms:W3CDTF">2018-08-07T14:09:29Z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