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The Strategic Imperative of Local AI Deployment in Healthcare Operations:</w:t>
        <w:br/>
        <w:t>Enhancing Clinical Decision Making and Prior Authorization</w:t>
      </w:r>
    </w:p>
    <w:p/>
    <w:p>
      <w:r>
        <w:rPr>
          <w:b/>
        </w:rPr>
        <w:t>Introduction and Topic Concept</w:t>
      </w:r>
    </w:p>
    <w:p>
      <w:r>
        <w:t>The integration of Artificial Intelligence (AI) into healthcare operations represents a paradigm shift in clinical decision-making. Specifically, within Treatment, Payment, and Operations (TPO)—such as prior authorization workflows—AI offers the potential to alleviate immense administrative burdens. This paper focuses on the emerging strategic imperative of local, on-premises deployment of Generative AI and Large Language Models (LLMs) compared to relying on cloud-based APIs (e.g., OpenAI, Anthropic). Local AI deployment involves hosting sophisticated models (like Qwen2.5:7B or Llama 3) entirely within a healthcare organization's secure, air-gapped infrastructure. In the context of prior authorization audits, an Agentic Generative AI system can autonomously execute Chain-of-Thought reasoning to evaluate patient FHIR records against complex coverage policies, generating accurate, explainable classifications without ever transmitting Protected Health Information (PHI) over the public internet.</w:t>
      </w:r>
    </w:p>
    <w:p>
      <w:r>
        <w:rPr>
          <w:b/>
        </w:rPr>
        <w:t>Analysis of Relevant Trends</w:t>
      </w:r>
    </w:p>
    <w:p>
      <w:r>
        <w:t>Two major trends are driving the adoption of local AI in healthcare. First is the rapid miniaturization and optimization of open-weight LLMs. Models with under 10 billion parameters can now match or exceed the performance of earlier massive models for domain-specific tasks, provided they are effectively prompted. This allows healthcare organizations to run powerful AI on consumer-grade or moderately priced enterprise hardware, rather than relying on massive cloud clusters. The second trend is the increasing regulatory scrutiny surrounding PHI and data exfiltration. Healthcare providers and payers are acutely aware of the risks associated with sending patient data to third-party cloud AI vendors. Local deployment neutralizes this risk by keeping data entirely within the organization's firewalls, ensuring stringent HIPAA compliance and minimizing attack surfaces.</w:t>
      </w:r>
    </w:p>
    <w:p>
      <w:r>
        <w:rPr>
          <w:b/>
        </w:rPr>
        <w:t>Opportunities and Threats</w:t>
      </w:r>
    </w:p>
    <w:p>
      <w:r>
        <w:t>Deploying AI locally presents significant opportunities. The most prominent is absolute data sovereignty and zero risk of external data exfiltration. Furthermore, local deployment offers predictable, flat-rate operational costs compared to the volatile token-based pricing of cloud APIs. For high-volume operations like prior authorization audits, fixed computing costs yield substantial long-term savings. Another opportunity lies in latency reduction and offline capabilities, enabling near-instantaneous inference and deterministic outputs when paired with lowered model temperatures.</w:t>
      </w:r>
    </w:p>
    <w:p>
      <w:r>
        <w:t>Conversely, there are notable threats and challenges. The primary threat is the initial capital expenditure (CapEx) required for GPU infrastructure. Additionally, local models are susceptible to "model decay" or staleness if not continuously updated to reflect changing medical guidelines or coverage policies. Finally, managing local infrastructure requires specialized in-house talent (MLOps and DevOps engineers) to maintain high availability and optimize model serving architectures.</w:t>
      </w:r>
    </w:p>
    <w:p>
      <w:r>
        <w:rPr>
          <w:b/>
        </w:rPr>
        <w:t>Strategic Proposals for Cotiviti</w:t>
      </w:r>
    </w:p>
    <w:p>
      <w:r>
        <w:t>To capitalize on these trends, Cotiviti should explore establishing an internal, scalable platform for hosting open-weight LLMs specifically tailored for clinical auditing. By investing in a localized AI infrastructure, Cotiviti can offer its clients an unparalleled guarantee of PHI security while automating the extraction and evaluation of complex medical criteria (e.g., SNOMED codes, step-therapy history). A proposed action is to launch a pilot program deploying a highly quantized, domain-adapted model (like the Qwen2.5:7B demonstrator) to automate "Low Risk" prior authorization approvals. This would demonstrate immediate value by reducing the backlog of routine claims, allowing human clinicians to focus exclusively on "Moderate" or "High Risk" cases that require nuanced medical judgment. Furthermore, Cotiviti could productize this local engine as a deployable appliance for provider networks, intercepting faulty claims before submission, thus reducing friction in the payment cycle.</w:t>
      </w:r>
    </w:p>
    <w:p>
      <w:r>
        <w:br w:type="page"/>
      </w:r>
    </w:p>
    <w:p>
      <w:pPr>
        <w:jc w:val="center"/>
      </w:pPr>
      <w:r>
        <w:rPr>
          <w:b/>
        </w:rPr>
        <w:t>References</w:t>
      </w:r>
    </w:p>
    <w:p>
      <w:pPr>
        <w:ind w:left="720" w:hanging="720"/>
      </w:pPr>
      <w:r>
        <w:t>Bohr, A., &amp; Memarzadeh, K. (2020). The rise of artificial intelligence in healthcare applications. In Artificial Intelligence in Healthcare (pp. 25-60). Academic Press.</w:t>
      </w:r>
    </w:p>
    <w:p>
      <w:pPr>
        <w:ind w:left="720" w:hanging="720"/>
      </w:pPr>
      <w:r>
        <w:t>Meskó, B., &amp; Görög, M. (2020). A short guide for medical professionals in the era of artificial intelligence. npj Digital Medicine, 3(1), 126.</w:t>
      </w:r>
    </w:p>
    <w:p>
      <w:pPr>
        <w:ind w:left="720" w:hanging="720"/>
      </w:pPr>
      <w:r>
        <w:t>Thirunavukarasu, A. J., Ting, D. S. J., Elangovan, K., Gutierrez, L., Ting, D. S. W., &amp; Keane, P. A. (2023). Large language models in medicine. Nature medicine, 29(8), 1930-1940.</w:t>
      </w:r>
    </w:p>
    <w:p>
      <w:pPr>
        <w:ind w:left="720" w:hanging="720"/>
      </w:pPr>
      <w:r>
        <w:t>Wong, A., Otles, E., Donnelly, J. P., Krumholz, A., Siefkas, A., Keene, K., ... &amp; Singh, K. (2021). External validation of a widely implemented proprietary sepsis prediction model in hospitalized patients. JAMA internal medicine, 181(8), 1065-1070.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