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Cluster Kubernetes — PEN TEST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Guida all'installazione e configurazione su OVHcloud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Data: 18/05/2026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Questo documento descrive la procedura di creazione e configurazione del cluster Kubernetes dedicato alle attività di Penetration Testing, ospitato su OVHcloud (Managed Kubernetes Service).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cluster è completamente separato dall'ambiente di produzione e accessibile tramite una kubeconfig dedicata.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Dettagli del Cluster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Nome cluster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pen_test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OVHcloud — Managed Kubernetes 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Kubeconfig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C:\Kubernetes_PenTest\kubeconfig-pen-test.yml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Ambiente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 / Penetration Testing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Separazione produzione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Kubeconfig distinta, nessuna condivisione di contesto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Prerequisiti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Prima di procedere, assicurarsi di avere installato e configurato i seguenti strumenti: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kubectl — client Kubernetes per la gestione del cluster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Helm v3 — package manager per Kubernetes (versione installata: v3.17.3)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Accesso all'account OVHcloud con permessi sul cluster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 kubeconfig scaricato dal pannello OVHcloud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Configurazione Kubeconfig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Gestione degli ambienti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 evitare operazioni accidentali sul cluster di produzione, i due ambienti vengono gestiti tramite file .bat separati che impostano la variabile KUBECONFIG.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 kubeconfig cluster pen_test: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C:\Kubernetes_PenTest\kubeconfig-pen-test.yml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 kubeconfig cluster produzione: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C:\Kubernetes_TA\kubeconfig.yml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Switch tra ambienti — CMD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 attivare il cluster pen_test in una sessione CMD: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set KUBECONFIG=C:\Kubernetes_PenTest\kubeconfig-pen-test.yml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 verificare la variabile attiva: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echo %KUBECONFIG%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Switch tra ambienti — PowerShell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 attivare il cluster pen_test in una sessione PowerShell: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$env:KUBECONFIG = "C:\Kubernetes_PenTest\kubeconfig-pen-test.yml"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 verificare la variabile attiva: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$env:KUBECONFIG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4.4 File .bat di avvio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Sono stati creati due file .bat per automatizzare il cambio di contesto e l'avvio della dashboard: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switch-pen-test.bat — avvia l'ambiente pen_test, genera il token e apre Headlamp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switch-prod.bat — avvia l'ambiente di produzione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Contenuto switch-pen-test.bat: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@echo off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set KUBECONFIG=C:\Kubernetes_PenTest\kubeconfig-pen-test.yml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echo Ambiente: PEN TEST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echo.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echo Generazione token...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kubectl create token my-headlamp --namespace kube-system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echo.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echo Avvio port-forward su http://localhost:8083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start "" "http://localhost:8083"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kubectl port-forward -n kube-system svc/my-headlamp 8083:80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Installazione Dashboard (Headlamp)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Motivazione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Kubernetes Dashboard classica è stata ufficialmente deprecata e il progetto archiviato. In alternativa è stato installato Headlamp, la soluzione raccomandata dal progetto Kubernetes SIG UI, attivamente mantenuta.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Installazione tramite Helm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Aggiunta del repository Helm: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helm repo add headlamp https://kubernetes-sigs.github.io/headlamp/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helm repo update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Installazione di Headlamp nel namespace kube-system: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helm install my-headlamp headlamp/headlamp --namespace kube-system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Verifica installazione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 che il pod sia in stato Running: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kubectl get pods -n kube-system -l app.kubernetes.io/name=headlamp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5.4 Accesso alla dashboard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Avviare il port-forward per esporre la dashboard in locale: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kubectl port-forward -n kube-system svc/my-headlamp 8083:80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Aprire il browser all'indirizzo: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http://localhost:8083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5.5 Generazione token di accesso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Headlamp richiede un Bearer Token per l'autenticazione. Il token ha una durata predefinita di 1 ora e va rigenerato ad ogni sessione: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kubectl create token my-headlamp --namespace kube-system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Incollare il token nella schermata di login di Headlamp.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Note Operative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Non avviare mai i due .bat contemporaneamente: entrambi utilizzano la porta locale 8083 tramite port-forward.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Il token di accesso a Headlamp scade dopo 1 ora. Rigenerarlo con il comando kubectl create token.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variabile KUBECONFIG è valida solo per la sessione corrente del prompt. Aprire sempre l'ambiente corretto tramite i file .bat dedicati.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Prima di eseguire qualsiasi comando kubectl o helm, verificare sempre la kubeconfig attiva con echo %KUBECONFIG% (CMD) o $env:KUBECONFIG (PowerShell).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Componenti Installati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v3.17.3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Headlamp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(Helm)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web 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Canal (CNI)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OVHcloud default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Networking plugin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CoreDNS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OVHcloud default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interno cluster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 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OVHcloud default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Metriche CPU/RAM</w:t>
            </w:r>
          </w:p>
        </w:tc>
      </w:tr>
    </w:tbl>
    <w:p>
      <w:pPr>
        <w:spacing w:after="0" w:before="24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120"/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Documento generato il 18/05/2026    —    Pagina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di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/>
    </w:pPr>
    <w:r>
      <w:rPr>
        <w:rFonts w:ascii="Arial" w:cs="Arial" w:eastAsia="Arial" w:hAnsi="Arial"/>
        <w:color w:val="666666"/>
        <w:sz w:val="18"/>
        <w:szCs w:val="18"/>
      </w:rPr>
      <w:t xml:space="preserve">Documentazione Cluster Kubernetes — PEN 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2026-05-18T14:27:32.608Z</dcterms:created>
  <dcterms:modified xsi:type="dcterms:W3CDTF">2026-05-18T14:27:32.608Z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