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60"/>
        <w:jc w:val="center"/>
      </w:pPr>
      <w:r>
        <w:rPr>
          <w:rFonts w:ascii="Times New Roman" w:cs="Times New Roman" w:eastAsia="Times New Roman" w:hAnsi="Times New Roman"/>
          <w:b/>
          <w:bCs/>
          <w:i w:val="false"/>
          <w:iCs w:val="false"/>
          <w:sz w:val="30"/>
          <w:szCs w:val="30"/>
        </w:rPr>
        <w:t xml:space="preserve">MUTUAL NON-DISCLOSURE AGREEMENT</w:t>
      </w:r>
    </w:p>
    <w:p>
      <w:pPr>
        <w:spacing w:after="160"/>
        <w:jc w:val="center"/>
      </w:pPr>
      <w:r>
        <w:rPr>
          <w:rFonts w:ascii="Times New Roman" w:cs="Times New Roman" w:eastAsia="Times New Roman" w:hAnsi="Times New Roman"/>
          <w:b w:val="false"/>
          <w:bCs w:val="false"/>
          <w:i/>
          <w:iCs/>
          <w:sz w:val="24"/>
          <w:szCs w:val="24"/>
        </w:rPr>
        <w:t xml:space="preserve">Ripley &amp; Ripley Research / QAG Framework</w:t>
      </w:r>
    </w:p>
    <w:p>
      <w:pPr>
        <w:spacing w:after="200"/>
      </w:pPr>
    </w:p>
    <w:p>
      <w:pPr>
        <w:pBdr>
          <w:bottom w:val="single" w:color="CCCCCC" w:sz="1"/>
        </w:pBdr>
        <w:spacing w:after="200"/>
      </w:pPr>
      <w:r>
        <w:rPr>
          <w:rFonts w:ascii="Times New Roman" w:cs="Times New Roman" w:eastAsia="Times New Roman" w:hAnsi="Times New Roman"/>
          <w:i/>
          <w:iCs/>
          <w:color w:val="555555"/>
          <w:sz w:val="20"/>
          <w:szCs w:val="20"/>
        </w:rPr>
        <w:t xml:space="preserve">DISCLAIMER: This is a template document for informational purposes only and does not constitute legal advice. Consult a licensed attorney before execution. (c) 2026 Rodney A. Ripley Jr. / Ripley &amp; Ripley Research.</w:t>
      </w:r>
    </w:p>
    <w:p>
      <w:pPr>
        <w:spacing w:after="200"/>
      </w:pPr>
    </w:p>
    <w:p>
      <w:pPr>
        <w:spacing w:after="160"/>
        <w:jc w:val="both"/>
      </w:pPr>
      <w:r>
        <w:rPr>
          <w:rFonts w:ascii="Times New Roman" w:cs="Times New Roman" w:eastAsia="Times New Roman" w:hAnsi="Times New Roman"/>
          <w:sz w:val="24"/>
          <w:szCs w:val="24"/>
        </w:rPr>
        <w:t xml:space="preserve">This Mutual Non-Disclosure Agreement (this 'Agreement') is entered into as of [EFFECTIVE DATE] by and between: Rodney A. Ripley Jr. / Ripley &amp; Ripley Research ('Disclosing Party'); and [COUNTERPARTY FULL LEGAL NAME], a [corporation/university/government agency] organized under the laws of [JURISDICTION] ('Recipient'). Each may be referred to as a 'Party' and collectively as the 'Parties.'</w:t>
      </w:r>
    </w:p>
    <w:p>
      <w:pPr>
        <w:spacing w:after="120" w:before="400"/>
      </w:pPr>
      <w:r>
        <w:rPr>
          <w:rFonts w:ascii="Times New Roman" w:cs="Times New Roman" w:eastAsia="Times New Roman" w:hAnsi="Times New Roman"/>
          <w:b/>
          <w:bCs/>
          <w:sz w:val="28"/>
          <w:szCs w:val="28"/>
        </w:rPr>
        <w:t xml:space="preserve">1.  DEFINITION OF CONFIDENTIAL INFORMATION</w:t>
      </w:r>
    </w:p>
    <w:p>
      <w:pPr>
        <w:spacing w:after="160"/>
        <w:jc w:val="both"/>
      </w:pPr>
      <w:r>
        <w:rPr>
          <w:rFonts w:ascii="Times New Roman" w:cs="Times New Roman" w:eastAsia="Times New Roman" w:hAnsi="Times New Roman"/>
          <w:sz w:val="24"/>
          <w:szCs w:val="24"/>
        </w:rPr>
        <w:t xml:space="preserve">'Confidential Information' means any non-public information disclosed by one Party to the other, whether in written, oral, electronic, or other form, that is designated as confidential or that reasonably should be understood to be confidential. Without limiting the foregoing, Confidential Information of Ripley &amp; Ripley Research includes:</w:t>
      </w:r>
    </w:p>
    <w:p>
      <w:pPr>
        <w:spacing w:after="60" w:before="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The Quantum Affinity Gravity (QAG) theoretical framework, including all equations, constants, derivations, and experimental predictions;</w:t>
      </w:r>
    </w:p>
    <w:p>
      <w:pPr>
        <w:spacing w:after="60" w:before="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QAG-V2 canonical constants (t_pixel, gamma, R, N, H0_QAG, S8_QAG, KASB, Phi, C);</w:t>
      </w:r>
    </w:p>
    <w:p>
      <w:pPr>
        <w:spacing w:after="60" w:before="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The QAI Drop Experiment Blueprint (Phase 2 document);</w:t>
      </w:r>
    </w:p>
    <w:p>
      <w:pPr>
        <w:spacing w:after="60" w:before="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All Resonant Healing Protocols (QVR Cradle, Urban Hum, Scalar Vortex Imprinter);</w:t>
      </w:r>
    </w:p>
    <w:p>
      <w:pPr>
        <w:spacing w:after="60" w:before="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The AI Brain / AffinionHandler edge processor architecture;</w:t>
      </w:r>
    </w:p>
    <w:p>
      <w:pPr>
        <w:spacing w:after="60" w:before="60"/>
        <w:ind w:left="720" w:hanging="360"/>
        <w:jc w:val="both"/>
      </w:pPr>
      <w:r>
        <w:rPr>
          <w:rFonts w:ascii="Times New Roman" w:cs="Times New Roman" w:eastAsia="Times New Roman" w:hAnsi="Times New Roman"/>
          <w:b/>
          <w:bCs/>
          <w:sz w:val="24"/>
          <w:szCs w:val="24"/>
        </w:rPr>
        <w:t xml:space="preserve">(f)  </w:t>
      </w:r>
      <w:r>
        <w:rPr>
          <w:rFonts w:ascii="Times New Roman" w:cs="Times New Roman" w:eastAsia="Times New Roman" w:hAnsi="Times New Roman"/>
          <w:sz w:val="24"/>
          <w:szCs w:val="24"/>
        </w:rPr>
        <w:t xml:space="preserve">All business, financial, and partnership terms disclosed in the course of this relationship.</w:t>
      </w:r>
    </w:p>
    <w:p>
      <w:pPr>
        <w:spacing w:after="160"/>
        <w:jc w:val="both"/>
      </w:pPr>
      <w:r>
        <w:rPr>
          <w:rFonts w:ascii="Times New Roman" w:cs="Times New Roman" w:eastAsia="Times New Roman" w:hAnsi="Times New Roman"/>
          <w:sz w:val="24"/>
          <w:szCs w:val="24"/>
        </w:rPr>
        <w:t xml:space="preserve">Confidential Information does NOT include information that: (a) is publicly available through no breach of this Agreement; (b) was known to the Receiving Party prior to disclosure; (c) is independently developed; or (d) is required to be disclosed by law, provided prompt written notice is given.</w:t>
      </w:r>
    </w:p>
    <w:p>
      <w:pPr>
        <w:spacing w:after="120" w:before="400"/>
      </w:pPr>
      <w:r>
        <w:rPr>
          <w:rFonts w:ascii="Times New Roman" w:cs="Times New Roman" w:eastAsia="Times New Roman" w:hAnsi="Times New Roman"/>
          <w:b/>
          <w:bCs/>
          <w:sz w:val="28"/>
          <w:szCs w:val="28"/>
        </w:rPr>
        <w:t xml:space="preserve">2.  OBLIGATIONS OF THE RECEIVING PARTY</w:t>
      </w:r>
    </w:p>
    <w:p>
      <w:pPr>
        <w:spacing w:after="160"/>
        <w:jc w:val="both"/>
      </w:pPr>
      <w:r>
        <w:rPr>
          <w:rFonts w:ascii="Times New Roman" w:cs="Times New Roman" w:eastAsia="Times New Roman" w:hAnsi="Times New Roman"/>
          <w:sz w:val="24"/>
          <w:szCs w:val="24"/>
        </w:rPr>
        <w:t xml:space="preserve">The Receiving Party agrees to:</w:t>
      </w:r>
    </w:p>
    <w:p>
      <w:pPr>
        <w:spacing w:after="60" w:before="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Hold all Confidential Information in strict confidence, using at least the same degree of care it uses to protect its own confidential information (no less than reasonable care);</w:t>
      </w:r>
    </w:p>
    <w:p>
      <w:pPr>
        <w:spacing w:after="60" w:before="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Not disclose Confidential Information to any third party without prior written consent;</w:t>
      </w:r>
    </w:p>
    <w:p>
      <w:pPr>
        <w:spacing w:after="60" w:before="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Use Confidential Information solely for the purpose of evaluating a potential research, licensing, or commercial relationship between the Parties (the 'Purpose');</w:t>
      </w:r>
    </w:p>
    <w:p>
      <w:pPr>
        <w:spacing w:after="60" w:before="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Limit internal disclosure to employees or contractors with a need to know, bound by obligations no less protective than this Agreement;</w:t>
      </w:r>
    </w:p>
    <w:p>
      <w:pPr>
        <w:spacing w:after="60" w:before="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Promptly notify Disclosing Party of any unauthorized use or disclosure.</w:t>
      </w:r>
    </w:p>
    <w:p>
      <w:pPr>
        <w:spacing w:after="120" w:before="400"/>
      </w:pPr>
      <w:r>
        <w:rPr>
          <w:rFonts w:ascii="Times New Roman" w:cs="Times New Roman" w:eastAsia="Times New Roman" w:hAnsi="Times New Roman"/>
          <w:b/>
          <w:bCs/>
          <w:sz w:val="28"/>
          <w:szCs w:val="28"/>
        </w:rPr>
        <w:t xml:space="preserve">3.  INTELLECTUAL PROPERTY -- NO LICENSE GRANTED</w:t>
      </w:r>
    </w:p>
    <w:p>
      <w:pPr>
        <w:spacing w:after="160"/>
        <w:jc w:val="both"/>
      </w:pPr>
      <w:r>
        <w:rPr>
          <w:rFonts w:ascii="Times New Roman" w:cs="Times New Roman" w:eastAsia="Times New Roman" w:hAnsi="Times New Roman"/>
          <w:sz w:val="24"/>
          <w:szCs w:val="24"/>
        </w:rPr>
        <w:t xml:space="preserve">Nothing in this Agreement shall be construed as granting any license, right, title, or interest in any patent, copyright, trademark, or other intellectual property right. All Confidential Information remains the exclusive property of the Disclosing Party. The QAG theoretical framework, QAG-V2 constants, Resonant Codex, and all associated outputs are the intellectual property of Rodney A. Ripley Jr. / Ripley &amp; Ripley Research, protected under copyright and applicable IP law. Any commercial, academic, or governmental exploitation requires a separate executed License Agreement.</w:t>
      </w:r>
    </w:p>
    <w:p>
      <w:pPr>
        <w:spacing w:after="120" w:before="400"/>
      </w:pPr>
      <w:r>
        <w:rPr>
          <w:rFonts w:ascii="Times New Roman" w:cs="Times New Roman" w:eastAsia="Times New Roman" w:hAnsi="Times New Roman"/>
          <w:b/>
          <w:bCs/>
          <w:sz w:val="28"/>
          <w:szCs w:val="28"/>
        </w:rPr>
        <w:t xml:space="preserve">4.  TERM AND TERMINATION</w:t>
      </w:r>
    </w:p>
    <w:p>
      <w:pPr>
        <w:spacing w:after="160"/>
        <w:jc w:val="both"/>
      </w:pPr>
      <w:r>
        <w:rPr>
          <w:rFonts w:ascii="Times New Roman" w:cs="Times New Roman" w:eastAsia="Times New Roman" w:hAnsi="Times New Roman"/>
          <w:sz w:val="24"/>
          <w:szCs w:val="24"/>
        </w:rPr>
        <w:t xml:space="preserve">This Agreement commences on the Effective Date and continues for three (3) years unless terminated earlier by either Party upon 30 days' written notice. Confidentiality obligations survive for five (5) years after termination.</w:t>
      </w:r>
    </w:p>
    <w:p>
      <w:pPr>
        <w:spacing w:after="120" w:before="400"/>
      </w:pPr>
      <w:r>
        <w:rPr>
          <w:rFonts w:ascii="Times New Roman" w:cs="Times New Roman" w:eastAsia="Times New Roman" w:hAnsi="Times New Roman"/>
          <w:b/>
          <w:bCs/>
          <w:sz w:val="28"/>
          <w:szCs w:val="28"/>
        </w:rPr>
        <w:t xml:space="preserve">5.  REMEDIES</w:t>
      </w:r>
    </w:p>
    <w:p>
      <w:pPr>
        <w:spacing w:after="160"/>
        <w:jc w:val="both"/>
      </w:pPr>
      <w:r>
        <w:rPr>
          <w:rFonts w:ascii="Times New Roman" w:cs="Times New Roman" w:eastAsia="Times New Roman" w:hAnsi="Times New Roman"/>
          <w:sz w:val="24"/>
          <w:szCs w:val="24"/>
        </w:rPr>
        <w:t xml:space="preserve">The Parties acknowledge that breach may cause irreparable harm for which monetary damages are inadequate. Each Party agrees the Disclosing Party is entitled to seek equitable relief, including injunction and specific performance, without posting bond, in addition to any other remedies available.</w:t>
      </w:r>
    </w:p>
    <w:p>
      <w:pPr>
        <w:spacing w:after="120" w:before="400"/>
      </w:pPr>
      <w:r>
        <w:rPr>
          <w:rFonts w:ascii="Times New Roman" w:cs="Times New Roman" w:eastAsia="Times New Roman" w:hAnsi="Times New Roman"/>
          <w:b/>
          <w:bCs/>
          <w:sz w:val="28"/>
          <w:szCs w:val="28"/>
        </w:rPr>
        <w:t xml:space="preserve">6.  GENERAL PROVISIONS</w:t>
      </w:r>
    </w:p>
    <w:p>
      <w:pPr>
        <w:spacing w:after="60" w:before="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Governing Law: Laws of the State of [GOVERNING STATE], without regard to conflict of law principles.</w:t>
      </w:r>
    </w:p>
    <w:p>
      <w:pPr>
        <w:spacing w:after="60" w:before="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Dispute Resolution: 30-day informal negotiation; then binding arbitration under JAMS rules in [CITY, STATE].</w:t>
      </w:r>
    </w:p>
    <w:p>
      <w:pPr>
        <w:spacing w:after="60" w:before="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Entire Agreement: This Agreement supersedes all prior oral or written representations concerning the subject matter.</w:t>
      </w:r>
    </w:p>
    <w:p>
      <w:pPr>
        <w:spacing w:after="60" w:before="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Amendment: Only by written instrument signed by authorized representatives of both Parties.</w:t>
      </w:r>
    </w:p>
    <w:p>
      <w:pPr>
        <w:spacing w:after="60" w:before="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Severability: If any provision is held invalid, the remaining provisions continue in full force.</w:t>
      </w:r>
    </w:p>
    <w:p>
      <w:pPr>
        <w:spacing w:after="200"/>
      </w:pPr>
    </w:p>
    <w:p>
      <w:pPr>
        <w:spacing w:after="200"/>
      </w:pPr>
    </w:p>
    <w:p>
      <w:pPr>
        <w:spacing w:after="80" w:before="240"/>
      </w:pPr>
      <w:r>
        <w:rPr>
          <w:rFonts w:ascii="Times New Roman" w:cs="Times New Roman" w:eastAsia="Times New Roman" w:hAnsi="Times New Roman"/>
          <w:b/>
          <w:bCs/>
          <w:sz w:val="24"/>
          <w:szCs w:val="24"/>
          <w:u w:val="single"/>
        </w:rPr>
        <w:t xml:space="preserve">SIGNATURES</w:t>
      </w:r>
    </w:p>
    <w:p>
      <w:pPr>
        <w:spacing w:after="160"/>
        <w:jc w:val="both"/>
      </w:pPr>
      <w:r>
        <w:rPr>
          <w:rFonts w:ascii="Times New Roman" w:cs="Times New Roman" w:eastAsia="Times New Roman" w:hAnsi="Times New Roman"/>
          <w:sz w:val="24"/>
          <w:szCs w:val="24"/>
        </w:rPr>
        <w:t xml:space="preserve">IN WITNESS WHEREOF, the Parties have executed this Agreement as of the Effective Date.</w:t>
      </w:r>
    </w:p>
    <w:p>
      <w:pPr>
        <w:spacing w:after="200"/>
      </w:pPr>
    </w:p>
    <w:tbl>
      <w:tblPr>
        <w:tblW w:type="pct" w:w="100%"/>
        <w:tblBorders>
          <w:top w:val="none"/>
          <w:left w:val="none"/>
          <w:bottom w:val="none"/>
          <w:right w:val="none"/>
          <w:insideH w:val="single" w:color="auto" w:sz="4"/>
          <w:insideV w:val="single" w:color="auto" w:sz="4"/>
        </w:tblBorders>
      </w:tblPr>
      <w:tblGrid>
        <w:gridCol w:w="100"/>
        <w:gridCol w:w="100"/>
      </w:tblGrid>
      <w:tr>
        <w:tc>
          <w:tcPr>
            <w:tcBorders>
              <w:top w:val="none"/>
              <w:left w:val="none"/>
              <w:bottom w:val="none"/>
              <w:right w:val="none"/>
            </w:tcBorders>
          </w:tcPr>
          <w:p>
            <w:pPr>
              <w:spacing w:after="160"/>
              <w:jc w:val="both"/>
            </w:pPr>
            <w:r>
              <w:rPr>
                <w:rFonts w:ascii="Times New Roman" w:cs="Times New Roman" w:eastAsia="Times New Roman" w:hAnsi="Times New Roman"/>
                <w:sz w:val="24"/>
                <w:szCs w:val="24"/>
              </w:rPr>
              <w:t xml:space="preserve">LICENSOR: Ripley &amp; Ripley Research</w:t>
            </w:r>
          </w:p>
          <w:p>
            <w:pPr>
              <w:spacing w:after="200"/>
            </w:pPr>
          </w:p>
          <w:p>
            <w:pPr>
              <w:spacing w:after="40" w:before="240"/>
            </w:pPr>
            <w:r>
              <w:rPr>
                <w:rFonts w:ascii="Times New Roman" w:cs="Times New Roman" w:eastAsia="Times New Roman" w:hAnsi="Times New Roman"/>
                <w:b/>
                <w:bCs/>
                <w:sz w:val="24"/>
                <w:szCs w:val="24"/>
              </w:rPr>
              <w:t xml:space="preserve">Signature: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Title: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__________________________________________________</w:t>
            </w:r>
          </w:p>
        </w:tc>
        <w:tc>
          <w:tcPr>
            <w:tcBorders>
              <w:top w:val="none"/>
              <w:left w:val="none"/>
              <w:bottom w:val="none"/>
              <w:right w:val="none"/>
            </w:tcBorders>
          </w:tcPr>
          <w:p>
            <w:pPr>
              <w:spacing w:after="160"/>
              <w:jc w:val="both"/>
            </w:pPr>
            <w:r>
              <w:rPr>
                <w:rFonts w:ascii="Times New Roman" w:cs="Times New Roman" w:eastAsia="Times New Roman" w:hAnsi="Times New Roman"/>
                <w:sz w:val="24"/>
                <w:szCs w:val="24"/>
              </w:rPr>
              <w:t xml:space="preserve">RECIPIENT: [Counterparty]</w:t>
            </w:r>
          </w:p>
          <w:p>
            <w:pPr>
              <w:spacing w:after="200"/>
            </w:pPr>
          </w:p>
          <w:p>
            <w:pPr>
              <w:spacing w:after="40" w:before="240"/>
            </w:pPr>
            <w:r>
              <w:rPr>
                <w:rFonts w:ascii="Times New Roman" w:cs="Times New Roman" w:eastAsia="Times New Roman" w:hAnsi="Times New Roman"/>
                <w:b/>
                <w:bCs/>
                <w:sz w:val="24"/>
                <w:szCs w:val="24"/>
              </w:rPr>
              <w:t xml:space="preserve">Signature: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Title: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__________________________________________________</w:t>
            </w:r>
          </w:p>
        </w:tc>
      </w:tr>
    </w:tbl>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2026-03-26T09:57:32.430Z</dcterms:created>
  <dcterms:modified xsi:type="dcterms:W3CDTF">2026-03-26T09:57:32.431Z</dcterms:modified>
</cp:coreProperties>
</file>

<file path=docProps/custom.xml><?xml version="1.0" encoding="utf-8"?>
<Properties xmlns="http://schemas.openxmlformats.org/officeDocument/2006/custom-properties" xmlns:vt="http://schemas.openxmlformats.org/officeDocument/2006/docPropsVTypes"/>
</file>