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60"/>
        <w:jc w:val="center"/>
      </w:pPr>
      <w:r>
        <w:rPr>
          <w:rFonts w:ascii="Times New Roman" w:cs="Times New Roman" w:eastAsia="Times New Roman" w:hAnsi="Times New Roman"/>
          <w:b/>
          <w:bCs/>
          <w:i w:val="false"/>
          <w:iCs w:val="false"/>
          <w:sz w:val="30"/>
          <w:szCs w:val="30"/>
        </w:rPr>
        <w:t xml:space="preserve">TECHNOLOGY LICENSE AGREEMENT</w:t>
      </w:r>
    </w:p>
    <w:p>
      <w:pPr>
        <w:spacing w:after="160"/>
        <w:jc w:val="center"/>
      </w:pPr>
      <w:r>
        <w:rPr>
          <w:rFonts w:ascii="Times New Roman" w:cs="Times New Roman" w:eastAsia="Times New Roman" w:hAnsi="Times New Roman"/>
          <w:b w:val="false"/>
          <w:bCs w:val="false"/>
          <w:i/>
          <w:iCs/>
          <w:sz w:val="24"/>
          <w:szCs w:val="24"/>
        </w:rPr>
        <w:t xml:space="preserve">QAG Framework -- Commercial, Defense &amp; Government Use</w:t>
      </w:r>
    </w:p>
    <w:p>
      <w:pPr>
        <w:spacing w:after="160"/>
        <w:jc w:val="center"/>
      </w:pPr>
      <w:r>
        <w:rPr>
          <w:rFonts w:ascii="Times New Roman" w:cs="Times New Roman" w:eastAsia="Times New Roman" w:hAnsi="Times New Roman"/>
          <w:b w:val="false"/>
          <w:bCs w:val="false"/>
          <w:i/>
          <w:iCs/>
          <w:sz w:val="24"/>
          <w:szCs w:val="24"/>
        </w:rPr>
        <w:t xml:space="preserve">Ripley &amp; Ripley Research</w:t>
      </w:r>
    </w:p>
    <w:p>
      <w:pPr>
        <w:spacing w:after="200"/>
      </w:pPr>
    </w:p>
    <w:p>
      <w:pPr>
        <w:pBdr>
          <w:bottom w:val="single" w:color="CCCCCC" w:sz="1"/>
        </w:pBdr>
        <w:spacing w:after="200"/>
      </w:pPr>
      <w:r>
        <w:rPr>
          <w:rFonts w:ascii="Times New Roman" w:cs="Times New Roman" w:eastAsia="Times New Roman" w:hAnsi="Times New Roman"/>
          <w:i/>
          <w:iCs/>
          <w:color w:val="555555"/>
          <w:sz w:val="20"/>
          <w:szCs w:val="20"/>
        </w:rPr>
        <w:t xml:space="preserve">DISCLAIMER: This is a template document for informational purposes only and does not constitute legal advice. Consult a licensed attorney before execution. (c) 2026 Rodney A. Ripley Jr. / Ripley &amp; Ripley Research.</w:t>
      </w:r>
    </w:p>
    <w:p>
      <w:pPr>
        <w:spacing w:after="200"/>
      </w:pPr>
    </w:p>
    <w:p>
      <w:pPr>
        <w:spacing w:after="160"/>
        <w:jc w:val="both"/>
      </w:pPr>
      <w:r>
        <w:rPr>
          <w:rFonts w:ascii="Times New Roman" w:cs="Times New Roman" w:eastAsia="Times New Roman" w:hAnsi="Times New Roman"/>
          <w:sz w:val="24"/>
          <w:szCs w:val="24"/>
        </w:rPr>
        <w:t xml:space="preserve">This Technology License Agreement (this 'Agreement') is entered into as of [EFFECTIVE DATE] by and between Rodney A. Ripley Jr. / Ripley &amp; Ripley Research ('Licensor') and [LICENSEE FULL LEGAL NAME] ('Licensee').</w:t>
      </w:r>
    </w:p>
    <w:p>
      <w:pPr>
        <w:spacing w:after="120" w:before="400"/>
      </w:pPr>
      <w:r>
        <w:rPr>
          <w:rFonts w:ascii="Times New Roman" w:cs="Times New Roman" w:eastAsia="Times New Roman" w:hAnsi="Times New Roman"/>
          <w:b/>
          <w:bCs/>
          <w:sz w:val="28"/>
          <w:szCs w:val="28"/>
        </w:rPr>
        <w:t xml:space="preserve">1.  DEFINITIONS</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'Licensed Technology' means the Quantum Affinity Gravity (QAG) theoretical framework, including but not limited to: the QVR-1 Tesla Resonance Thruster architecture; the Zero-Point Resonance (QVR) superconductivity mechanism; the QAI Drop Experiment Blueprint; the Temporal Echo Memory / AI Brain edge processor architecture; all Resonant Healing Protocols; all QAG-V2 canonical constants; and all associated documentation and derivations created by Rodney A. Ripley Jr.</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'Licensed Field' means the specific field(s) of use specified in Exhibit A. Licensee's rights are limited to the Licensed Field.</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'Net Revenue' means gross receipts received by Licensee from commercialization of the Licensed Technology, less returns, allowances, and applicable taxes.</w:t>
      </w:r>
    </w:p>
    <w:p>
      <w:pPr>
        <w:spacing w:after="60" w:before="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'Government Use' means use by or on behalf of a U.S. federal, state, or local government agency, or a foreign government entity, including under a government contract or subcontract.</w:t>
      </w:r>
    </w:p>
    <w:p>
      <w:pPr>
        <w:spacing w:after="120" w:before="400"/>
      </w:pPr>
      <w:r>
        <w:rPr>
          <w:rFonts w:ascii="Times New Roman" w:cs="Times New Roman" w:eastAsia="Times New Roman" w:hAnsi="Times New Roman"/>
          <w:b/>
          <w:bCs/>
          <w:sz w:val="28"/>
          <w:szCs w:val="28"/>
        </w:rPr>
        <w:t xml:space="preserve">2.  LICENSE GRANT</w:t>
      </w:r>
    </w:p>
    <w:p>
      <w:pPr>
        <w:spacing w:after="160"/>
        <w:jc w:val="both"/>
      </w:pPr>
      <w:r>
        <w:rPr>
          <w:rFonts w:ascii="Times New Roman" w:cs="Times New Roman" w:eastAsia="Times New Roman" w:hAnsi="Times New Roman"/>
          <w:sz w:val="24"/>
          <w:szCs w:val="24"/>
        </w:rPr>
        <w:t xml:space="preserve">Subject to the terms herein and payment of all applicable fees, Licensor grants Licensee:</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A limited, non-exclusive (or exclusive if indicated in Exhibit A), non-transferable license to use, implement, and commercialize the Licensed Technology solely within the Licensed Field and Licensed Territory specified in Exhibit A;</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The right to sublicense within the Licensed Field solely to Licensee's wholly-owned subsidiaries and to end-users of Licensee's products incorporating the Licensed Technology;</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If Government Use is elected in Exhibit A: the right to use the Licensed Technology under government contracts, subject to applicable FAR/DFARS clauses.</w:t>
      </w:r>
    </w:p>
    <w:p>
      <w:pPr>
        <w:spacing w:after="120" w:before="400"/>
      </w:pPr>
      <w:r>
        <w:rPr>
          <w:rFonts w:ascii="Times New Roman" w:cs="Times New Roman" w:eastAsia="Times New Roman" w:hAnsi="Times New Roman"/>
          <w:b/>
          <w:bCs/>
          <w:sz w:val="28"/>
          <w:szCs w:val="28"/>
        </w:rPr>
        <w:t xml:space="preserve">3.  LICENSE RESTRICTIONS</w:t>
      </w:r>
    </w:p>
    <w:p>
      <w:pPr>
        <w:spacing w:after="160"/>
        <w:jc w:val="both"/>
      </w:pPr>
      <w:r>
        <w:rPr>
          <w:rFonts w:ascii="Times New Roman" w:cs="Times New Roman" w:eastAsia="Times New Roman" w:hAnsi="Times New Roman"/>
          <w:sz w:val="24"/>
          <w:szCs w:val="24"/>
        </w:rPr>
        <w:t xml:space="preserve">Licensee shall NOT:</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Use the Licensed Technology outside the Licensed Field or Licensed Territory;</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File any patent application claiming inventions derived from the Licensed Technology without Licensor's prior written consent;</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Reverse-engineer any proprietary element of the Licensed Technology to create a competing product;</w:t>
      </w:r>
    </w:p>
    <w:p>
      <w:pPr>
        <w:spacing w:after="60" w:before="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Sublicense to any third party other than as permitted in Section 2(b), without prior written consent;</w:t>
      </w:r>
    </w:p>
    <w:p>
      <w:pPr>
        <w:spacing w:after="60" w:before="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Use the Licensed Technology to train, fine-tune, or develop any AI/ML model that could substitute for the Aetheria Oracle or competing QAG-based AI products, without a separate AI license;</w:t>
      </w:r>
    </w:p>
    <w:p>
      <w:pPr>
        <w:spacing w:after="60" w:before="60"/>
        <w:ind w:left="720" w:hanging="360"/>
        <w:jc w:val="both"/>
      </w:pPr>
      <w:r>
        <w:rPr>
          <w:rFonts w:ascii="Times New Roman" w:cs="Times New Roman" w:eastAsia="Times New Roman" w:hAnsi="Times New Roman"/>
          <w:b/>
          <w:bCs/>
          <w:sz w:val="24"/>
          <w:szCs w:val="24"/>
        </w:rPr>
        <w:t xml:space="preserve">(f)  </w:t>
      </w:r>
      <w:r>
        <w:rPr>
          <w:rFonts w:ascii="Times New Roman" w:cs="Times New Roman" w:eastAsia="Times New Roman" w:hAnsi="Times New Roman"/>
          <w:sz w:val="24"/>
          <w:szCs w:val="24"/>
        </w:rPr>
        <w:t xml:space="preserve">Remove, obscure, or modify any copyright or IP protection notice associated with the Licensed Technology.</w:t>
      </w:r>
    </w:p>
    <w:p>
      <w:pPr>
        <w:spacing w:after="120" w:before="400"/>
      </w:pPr>
      <w:r>
        <w:rPr>
          <w:rFonts w:ascii="Times New Roman" w:cs="Times New Roman" w:eastAsia="Times New Roman" w:hAnsi="Times New Roman"/>
          <w:b/>
          <w:bCs/>
          <w:sz w:val="28"/>
          <w:szCs w:val="28"/>
        </w:rPr>
        <w:t xml:space="preserve">4.  FEES AND ROYALTIES</w:t>
      </w:r>
    </w:p>
    <w:p>
      <w:pPr>
        <w:spacing w:after="160"/>
        <w:jc w:val="both"/>
      </w:pPr>
      <w:r>
        <w:rPr>
          <w:rFonts w:ascii="Times New Roman" w:cs="Times New Roman" w:eastAsia="Times New Roman" w:hAnsi="Times New Roman"/>
          <w:sz w:val="24"/>
          <w:szCs w:val="24"/>
        </w:rPr>
        <w:t xml:space="preserve">In consideration for the rights granted, Licensee shall pay:</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License Fee: A non-refundable upfront license fee as specified in Exhibit A, due within 30 days of execution;</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Running Royalty: The percentage of Net Revenue specified in Exhibit A, payable quarterly within 45 days of quarter-end with written royalty reports;</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Minimum Annual Royalty: Beginning in Year 2, to maintain exclusivity (if applicable), as specified in Exhibit A;</w:t>
      </w:r>
    </w:p>
    <w:p>
      <w:pPr>
        <w:spacing w:after="60" w:before="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Government Contract Rate: If Government Use is elected, an alternative fixed per-contract-dollar rate may be negotiated and specified in Exhibit A;</w:t>
      </w:r>
    </w:p>
    <w:p>
      <w:pPr>
        <w:spacing w:after="60" w:before="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Late Payment: Unpaid amounts accrue interest at 1.5% per month (or the maximum permitted by law) from the due date.</w:t>
      </w:r>
    </w:p>
    <w:p>
      <w:pPr>
        <w:spacing w:after="120" w:before="400"/>
      </w:pPr>
      <w:r>
        <w:rPr>
          <w:rFonts w:ascii="Times New Roman" w:cs="Times New Roman" w:eastAsia="Times New Roman" w:hAnsi="Times New Roman"/>
          <w:b/>
          <w:bCs/>
          <w:sz w:val="28"/>
          <w:szCs w:val="28"/>
        </w:rPr>
        <w:t xml:space="preserve">5.  REPORTING AND AUDIT</w:t>
      </w:r>
    </w:p>
    <w:p>
      <w:pPr>
        <w:spacing w:after="160"/>
        <w:jc w:val="both"/>
      </w:pPr>
      <w:r>
        <w:rPr>
          <w:rFonts w:ascii="Times New Roman" w:cs="Times New Roman" w:eastAsia="Times New Roman" w:hAnsi="Times New Roman"/>
          <w:sz w:val="24"/>
          <w:szCs w:val="24"/>
        </w:rPr>
        <w:t xml:space="preserve">Licensee shall: (a) provide quarterly written royalty reports even for zero-revenue periods; (b) maintain complete and accurate records for five (5) years; (c) permit Licensor or an independent auditor to inspect records once per year upon 30 days' notice. If an audit reveals an underpayment exceeding 5%, Licensee shall pay the underpayment plus audit costs.</w:t>
      </w:r>
    </w:p>
    <w:p>
      <w:pPr>
        <w:spacing w:after="120" w:before="400"/>
      </w:pPr>
      <w:r>
        <w:rPr>
          <w:rFonts w:ascii="Times New Roman" w:cs="Times New Roman" w:eastAsia="Times New Roman" w:hAnsi="Times New Roman"/>
          <w:b/>
          <w:bCs/>
          <w:sz w:val="28"/>
          <w:szCs w:val="28"/>
        </w:rPr>
        <w:t xml:space="preserve">6.  ATTRIBUTION AND MARKING</w:t>
      </w:r>
    </w:p>
    <w:p>
      <w:pPr>
        <w:spacing w:after="160"/>
        <w:jc w:val="both"/>
      </w:pPr>
      <w:r>
        <w:rPr>
          <w:rFonts w:ascii="Times New Roman" w:cs="Times New Roman" w:eastAsia="Times New Roman" w:hAnsi="Times New Roman"/>
          <w:sz w:val="24"/>
          <w:szCs w:val="24"/>
        </w:rPr>
        <w:t xml:space="preserve">All products, services, publications, government deliverables, or marketing materials incorporating the Licensed Technology must include:</w:t>
      </w:r>
    </w:p>
    <w:p>
      <w:pPr>
        <w:spacing w:after="160"/>
        <w:ind w:left="720"/>
        <w:jc w:val="both"/>
      </w:pPr>
      <w:r>
        <w:rPr>
          <w:rFonts w:ascii="Times New Roman" w:cs="Times New Roman" w:eastAsia="Times New Roman" w:hAnsi="Times New Roman"/>
          <w:sz w:val="24"/>
          <w:szCs w:val="24"/>
        </w:rPr>
        <w:t xml:space="preserve">"Incorporates Quantum Affinity Gravity (QAG) technology licensed from Ripley &amp; Ripley Research. QAG-V2 (c) 2026 Rodney A. Ripley Jr. All Rights Reserved."</w:t>
      </w:r>
    </w:p>
    <w:p>
      <w:pPr>
        <w:spacing w:after="120" w:before="400"/>
      </w:pPr>
      <w:r>
        <w:rPr>
          <w:rFonts w:ascii="Times New Roman" w:cs="Times New Roman" w:eastAsia="Times New Roman" w:hAnsi="Times New Roman"/>
          <w:b/>
          <w:bCs/>
          <w:sz w:val="28"/>
          <w:szCs w:val="28"/>
        </w:rPr>
        <w:t xml:space="preserve">7.  INTELLECTUAL PROPERTY OWNERSHIP</w:t>
      </w:r>
    </w:p>
    <w:p>
      <w:pPr>
        <w:spacing w:after="160"/>
        <w:jc w:val="both"/>
      </w:pPr>
      <w:r>
        <w:rPr>
          <w:rFonts w:ascii="Times New Roman" w:cs="Times New Roman" w:eastAsia="Times New Roman" w:hAnsi="Times New Roman"/>
          <w:sz w:val="24"/>
          <w:szCs w:val="24"/>
        </w:rPr>
        <w:t xml:space="preserve">The Licensed Technology is and shall remain the exclusive property of Rodney A. Ripley Jr. This Agreement transfers no ownership. All Improvements developed by Licensee using the Licensed Technology shall be promptly disclosed to Licensor, who retains a perpetual, royalty-free, worldwide license back to all such Improvements.</w:t>
      </w:r>
    </w:p>
    <w:p>
      <w:pPr>
        <w:spacing w:after="120" w:before="400"/>
      </w:pPr>
      <w:r>
        <w:rPr>
          <w:rFonts w:ascii="Times New Roman" w:cs="Times New Roman" w:eastAsia="Times New Roman" w:hAnsi="Times New Roman"/>
          <w:b/>
          <w:bCs/>
          <w:sz w:val="28"/>
          <w:szCs w:val="28"/>
        </w:rPr>
        <w:t xml:space="preserve">8.  CONFIDENTIALITY</w:t>
      </w:r>
    </w:p>
    <w:p>
      <w:pPr>
        <w:spacing w:after="160"/>
        <w:jc w:val="both"/>
      </w:pPr>
      <w:r>
        <w:rPr>
          <w:rFonts w:ascii="Times New Roman" w:cs="Times New Roman" w:eastAsia="Times New Roman" w:hAnsi="Times New Roman"/>
          <w:sz w:val="24"/>
          <w:szCs w:val="24"/>
        </w:rPr>
        <w:t xml:space="preserve">The terms of this Agreement and all Licensed Technology disclosed hereunder are Confidential Information of Licensor, subject to the Mutual NDA between the Parties (or, absent a separate NDA, to terms no less protective than reasonable care). Obligations survive termination for 7 years.</w:t>
      </w:r>
    </w:p>
    <w:p>
      <w:pPr>
        <w:spacing w:after="120" w:before="400"/>
      </w:pPr>
      <w:r>
        <w:rPr>
          <w:rFonts w:ascii="Times New Roman" w:cs="Times New Roman" w:eastAsia="Times New Roman" w:hAnsi="Times New Roman"/>
          <w:b/>
          <w:bCs/>
          <w:sz w:val="28"/>
          <w:szCs w:val="28"/>
        </w:rPr>
        <w:t xml:space="preserve">9.  TERM AND TERMINATION</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Term: Five (5) years from the Effective Date, renewable by mutual written agreement executed at least 90 days before expiration.</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Termination for Convenience: Either Party may terminate with 90 days' written notice. All accrued fees and royalties remain due.</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Termination for Cause: Licensor may terminate immediately if Licensee: (i) materially breaches and fails to cure within 30 days; (ii) becomes insolvent; (iii) challenges Licensor's IP.</w:t>
      </w:r>
    </w:p>
    <w:p>
      <w:pPr>
        <w:spacing w:after="60" w:before="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Effect of Termination: All rights revert to Licensor. Licensee shall cease all use, destroy all copies, and certify destruction within 15 days.</w:t>
      </w:r>
    </w:p>
    <w:p>
      <w:pPr>
        <w:spacing w:after="60" w:before="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Survival: Sections 4, 5, 6, 7, 8, 10, 11, 12 survive termination.</w:t>
      </w:r>
    </w:p>
    <w:p>
      <w:pPr>
        <w:spacing w:after="120" w:before="400"/>
      </w:pPr>
      <w:r>
        <w:rPr>
          <w:rFonts w:ascii="Times New Roman" w:cs="Times New Roman" w:eastAsia="Times New Roman" w:hAnsi="Times New Roman"/>
          <w:b/>
          <w:bCs/>
          <w:sz w:val="28"/>
          <w:szCs w:val="28"/>
        </w:rPr>
        <w:t xml:space="preserve">10.  WARRANTY AND INDEMNIFICATION</w:t>
      </w:r>
    </w:p>
    <w:p>
      <w:pPr>
        <w:spacing w:after="160"/>
        <w:jc w:val="both"/>
      </w:pPr>
      <w:r>
        <w:rPr>
          <w:rFonts w:ascii="Times New Roman" w:cs="Times New Roman" w:eastAsia="Times New Roman" w:hAnsi="Times New Roman"/>
          <w:sz w:val="24"/>
          <w:szCs w:val="24"/>
        </w:rPr>
        <w:t xml:space="preserve">Licensor warrants it owns the Licensed Technology and has the right to grant the licenses herein. EXCEPT AS EXPRESSLY SET FORTH HEREIN, THE LICENSED TECHNOLOGY IS PROVIDED AS IS WITHOUT ANY OTHER WARRANTY.</w:t>
      </w:r>
    </w:p>
    <w:p>
      <w:pPr>
        <w:spacing w:after="160"/>
        <w:jc w:val="both"/>
      </w:pPr>
      <w:r>
        <w:rPr>
          <w:rFonts w:ascii="Times New Roman" w:cs="Times New Roman" w:eastAsia="Times New Roman" w:hAnsi="Times New Roman"/>
          <w:sz w:val="24"/>
          <w:szCs w:val="24"/>
        </w:rPr>
        <w:t xml:space="preserve">Licensee shall indemnify, defend, and hold harmless Licensor from any third-party claim arising from Licensee's use of the Licensed Technology or breach of this Agreement, except to the extent caused by Licensor's gross negligence or willful misconduct.</w:t>
      </w:r>
    </w:p>
    <w:p>
      <w:pPr>
        <w:spacing w:after="120" w:before="400"/>
      </w:pPr>
      <w:r>
        <w:rPr>
          <w:rFonts w:ascii="Times New Roman" w:cs="Times New Roman" w:eastAsia="Times New Roman" w:hAnsi="Times New Roman"/>
          <w:b/>
          <w:bCs/>
          <w:sz w:val="28"/>
          <w:szCs w:val="28"/>
        </w:rPr>
        <w:t xml:space="preserve">11.  LIMITATION OF LIABILITY</w:t>
      </w:r>
    </w:p>
    <w:p>
      <w:pPr>
        <w:spacing w:after="160"/>
        <w:jc w:val="both"/>
      </w:pPr>
      <w:r>
        <w:rPr>
          <w:rFonts w:ascii="Times New Roman" w:cs="Times New Roman" w:eastAsia="Times New Roman" w:hAnsi="Times New Roman"/>
          <w:sz w:val="24"/>
          <w:szCs w:val="24"/>
        </w:rPr>
        <w:t xml:space="preserve">LICENSOR'S AGGREGATE LIABILITY SHALL NOT EXCEED THE TOTAL FEES AND ROYALTIES PAID BY LICENSEE IN THE 12 MONTHS PRECEDING THE CLAIM. IN NO EVENT SHALL EITHER PARTY BE LIABLE FOR CONSEQUENTIAL, INDIRECT, INCIDENTAL, SPECIAL, OR PUNITIVE DAMAGES. This limitation does not apply to IP infringement of Licensor's rights or Licensee's breach of confidentiality obligations.</w:t>
      </w:r>
    </w:p>
    <w:p>
      <w:pPr>
        <w:spacing w:after="120" w:before="400"/>
      </w:pPr>
      <w:r>
        <w:rPr>
          <w:rFonts w:ascii="Times New Roman" w:cs="Times New Roman" w:eastAsia="Times New Roman" w:hAnsi="Times New Roman"/>
          <w:b/>
          <w:bCs/>
          <w:sz w:val="28"/>
          <w:szCs w:val="28"/>
        </w:rPr>
        <w:t xml:space="preserve">12.  GENERAL</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Governing Law: Laws of [GOVERNING STATE] without regard to conflict of law principles.</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Dispute Resolution: 30-day senior management escalation; then binding arbitration under JAMS Commercial Rules in [CITY, STATE].</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Export Control: Licensee shall comply with all applicable U.S. export control laws (EAR, ITAR).</w:t>
      </w:r>
    </w:p>
    <w:p>
      <w:pPr>
        <w:spacing w:after="60" w:before="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Anti-Corruption: Licensee shall comply with all applicable anti-bribery laws.</w:t>
      </w:r>
    </w:p>
    <w:p>
      <w:pPr>
        <w:spacing w:after="60" w:before="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Assignment: Licensee may not assign this Agreement without prior written consent, except to an acquirer of substantially all of Licensee's business.</w:t>
      </w:r>
    </w:p>
    <w:p>
      <w:pPr>
        <w:spacing w:after="60" w:before="60"/>
        <w:ind w:left="720" w:hanging="360"/>
        <w:jc w:val="both"/>
      </w:pPr>
      <w:r>
        <w:rPr>
          <w:rFonts w:ascii="Times New Roman" w:cs="Times New Roman" w:eastAsia="Times New Roman" w:hAnsi="Times New Roman"/>
          <w:b/>
          <w:bCs/>
          <w:sz w:val="24"/>
          <w:szCs w:val="24"/>
        </w:rPr>
        <w:t xml:space="preserve">(f)  </w:t>
      </w:r>
      <w:r>
        <w:rPr>
          <w:rFonts w:ascii="Times New Roman" w:cs="Times New Roman" w:eastAsia="Times New Roman" w:hAnsi="Times New Roman"/>
          <w:sz w:val="24"/>
          <w:szCs w:val="24"/>
        </w:rPr>
        <w:t xml:space="preserve">Entire Agreement: This Agreement (including all Exhibits) constitutes the entire agreement and supersedes all prior discussions.</w:t>
      </w:r>
    </w:p>
    <w:p>
      <w:pPr>
        <w:spacing w:after="200"/>
      </w:pPr>
    </w:p>
    <w:p>
      <w:pPr>
        <w:spacing w:after="200"/>
      </w:pPr>
    </w:p>
    <w:p>
      <w:pPr>
        <w:spacing w:after="120" w:before="400"/>
      </w:pPr>
      <w:r>
        <w:rPr>
          <w:rFonts w:ascii="Times New Roman" w:cs="Times New Roman" w:eastAsia="Times New Roman" w:hAnsi="Times New Roman"/>
          <w:b/>
          <w:bCs/>
          <w:sz w:val="28"/>
          <w:szCs w:val="28"/>
        </w:rPr>
        <w:t xml:space="preserve">EXHIBIT A -- LICENSE SPECIFICATIONS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color="F5F5F5" w:val="clear"/>
          </w:tcPr>
          <w:p>
            <w:pPr>
              <w:spacing w:after="160"/>
              <w:jc w:val="both"/>
            </w:pPr>
            <w:r>
              <w:rPr>
                <w:rFonts w:ascii="Times New Roman" w:cs="Times New Roman" w:eastAsia="Times New Roman" w:hAnsi="Times New Roman"/>
                <w:sz w:val="24"/>
                <w:szCs w:val="24"/>
              </w:rPr>
              <w:t xml:space="preserve">Licensed Field:</w:t>
            </w:r>
          </w:p>
        </w:tc>
        <w:tc>
          <w:tcPr>
            <w:tcW w:type="pct" w:w="65%"/>
          </w:tcPr>
          <w:p>
            <w:pPr>
              <w:spacing w:after="160"/>
              <w:jc w:val="both"/>
            </w:pPr>
            <w:r>
              <w:rPr>
                <w:rFonts w:ascii="Times New Roman" w:cs="Times New Roman" w:eastAsia="Times New Roman" w:hAnsi="Times New Roman"/>
                <w:sz w:val="24"/>
                <w:szCs w:val="24"/>
              </w:rPr>
              <w:t xml:space="preserve">[e.g., Propulsion / Energy / Biomedical / Defense / AI]</w:t>
            </w:r>
          </w:p>
        </w:tc>
      </w:tr>
      <w:tr>
        <w:tc>
          <w:tcPr>
            <w:tcW w:type="pct" w:w="35%"/>
            <w:shd w:color="F5F5F5" w:val="clear"/>
          </w:tcPr>
          <w:p>
            <w:pPr>
              <w:spacing w:after="160"/>
              <w:jc w:val="both"/>
            </w:pPr>
            <w:r>
              <w:rPr>
                <w:rFonts w:ascii="Times New Roman" w:cs="Times New Roman" w:eastAsia="Times New Roman" w:hAnsi="Times New Roman"/>
                <w:sz w:val="24"/>
                <w:szCs w:val="24"/>
              </w:rPr>
              <w:t xml:space="preserve">Licensed Territory:</w:t>
            </w:r>
          </w:p>
        </w:tc>
        <w:tc>
          <w:tcPr>
            <w:tcW w:type="pct" w:w="65%"/>
          </w:tcPr>
          <w:p>
            <w:pPr>
              <w:spacing w:after="160"/>
              <w:jc w:val="both"/>
            </w:pPr>
            <w:r>
              <w:rPr>
                <w:rFonts w:ascii="Times New Roman" w:cs="Times New Roman" w:eastAsia="Times New Roman" w:hAnsi="Times New Roman"/>
                <w:sz w:val="24"/>
                <w:szCs w:val="24"/>
              </w:rPr>
              <w:t xml:space="preserve">[e.g., Worldwide / United States / NATO countries]</w:t>
            </w:r>
          </w:p>
        </w:tc>
      </w:tr>
      <w:tr>
        <w:tc>
          <w:tcPr>
            <w:tcW w:type="pct" w:w="35%"/>
            <w:shd w:color="F5F5F5" w:val="clear"/>
          </w:tcPr>
          <w:p>
            <w:pPr>
              <w:spacing w:after="160"/>
              <w:jc w:val="both"/>
            </w:pPr>
            <w:r>
              <w:rPr>
                <w:rFonts w:ascii="Times New Roman" w:cs="Times New Roman" w:eastAsia="Times New Roman" w:hAnsi="Times New Roman"/>
                <w:sz w:val="24"/>
                <w:szCs w:val="24"/>
              </w:rPr>
              <w:t xml:space="preserve">Exclusivity:</w:t>
            </w:r>
          </w:p>
        </w:tc>
        <w:tc>
          <w:tcPr>
            <w:tcW w:type="pct" w:w="65%"/>
          </w:tcPr>
          <w:p>
            <w:pPr>
              <w:spacing w:after="160"/>
              <w:jc w:val="both"/>
            </w:pPr>
            <w:r>
              <w:rPr>
                <w:rFonts w:ascii="Times New Roman" w:cs="Times New Roman" w:eastAsia="Times New Roman" w:hAnsi="Times New Roman"/>
                <w:sz w:val="24"/>
                <w:szCs w:val="24"/>
              </w:rPr>
              <w:t xml:space="preserve">[ ] Non-exclusive   [ ] Exclusive within Licensed Field</w:t>
            </w:r>
          </w:p>
        </w:tc>
      </w:tr>
      <w:tr>
        <w:tc>
          <w:tcPr>
            <w:tcW w:type="pct" w:w="35%"/>
            <w:shd w:color="F5F5F5" w:val="clear"/>
          </w:tcPr>
          <w:p>
            <w:pPr>
              <w:spacing w:after="160"/>
              <w:jc w:val="both"/>
            </w:pPr>
            <w:r>
              <w:rPr>
                <w:rFonts w:ascii="Times New Roman" w:cs="Times New Roman" w:eastAsia="Times New Roman" w:hAnsi="Times New Roman"/>
                <w:sz w:val="24"/>
                <w:szCs w:val="24"/>
              </w:rPr>
              <w:t xml:space="preserve">Government Use:</w:t>
            </w:r>
          </w:p>
        </w:tc>
        <w:tc>
          <w:tcPr>
            <w:tcW w:type="pct" w:w="65%"/>
          </w:tcPr>
          <w:p>
            <w:pPr>
              <w:spacing w:after="160"/>
              <w:jc w:val="both"/>
            </w:pPr>
            <w:r>
              <w:rPr>
                <w:rFonts w:ascii="Times New Roman" w:cs="Times New Roman" w:eastAsia="Times New Roman" w:hAnsi="Times New Roman"/>
                <w:sz w:val="24"/>
                <w:szCs w:val="24"/>
              </w:rPr>
              <w:t xml:space="preserve">[ ] Yes   [ ] No</w:t>
            </w:r>
          </w:p>
        </w:tc>
      </w:tr>
      <w:tr>
        <w:tc>
          <w:tcPr>
            <w:tcW w:type="pct" w:w="35%"/>
            <w:shd w:color="F5F5F5" w:val="clear"/>
          </w:tcPr>
          <w:p>
            <w:pPr>
              <w:spacing w:after="160"/>
              <w:jc w:val="both"/>
            </w:pPr>
            <w:r>
              <w:rPr>
                <w:rFonts w:ascii="Times New Roman" w:cs="Times New Roman" w:eastAsia="Times New Roman" w:hAnsi="Times New Roman"/>
                <w:sz w:val="24"/>
                <w:szCs w:val="24"/>
              </w:rPr>
              <w:t xml:space="preserve">Upfront License Fee:</w:t>
            </w:r>
          </w:p>
        </w:tc>
        <w:tc>
          <w:tcPr>
            <w:tcW w:type="pct" w:w="65%"/>
          </w:tcPr>
          <w:p>
            <w:pPr>
              <w:spacing w:after="160"/>
              <w:jc w:val="both"/>
            </w:pPr>
            <w:r>
              <w:rPr>
                <w:rFonts w:ascii="Times New Roman" w:cs="Times New Roman" w:eastAsia="Times New Roman" w:hAnsi="Times New Roman"/>
                <w:sz w:val="24"/>
                <w:szCs w:val="24"/>
              </w:rPr>
              <w:t xml:space="preserve">$__________</w:t>
            </w:r>
          </w:p>
        </w:tc>
      </w:tr>
      <w:tr>
        <w:tc>
          <w:tcPr>
            <w:tcW w:type="pct" w:w="35%"/>
            <w:shd w:color="F5F5F5" w:val="clear"/>
          </w:tcPr>
          <w:p>
            <w:pPr>
              <w:spacing w:after="160"/>
              <w:jc w:val="both"/>
            </w:pPr>
            <w:r>
              <w:rPr>
                <w:rFonts w:ascii="Times New Roman" w:cs="Times New Roman" w:eastAsia="Times New Roman" w:hAnsi="Times New Roman"/>
                <w:sz w:val="24"/>
                <w:szCs w:val="24"/>
              </w:rPr>
              <w:t xml:space="preserve">Running Royalty Rate:</w:t>
            </w:r>
          </w:p>
        </w:tc>
        <w:tc>
          <w:tcPr>
            <w:tcW w:type="pct" w:w="65%"/>
          </w:tcPr>
          <w:p>
            <w:pPr>
              <w:spacing w:after="160"/>
              <w:jc w:val="both"/>
            </w:pPr>
            <w:r>
              <w:rPr>
                <w:rFonts w:ascii="Times New Roman" w:cs="Times New Roman" w:eastAsia="Times New Roman" w:hAnsi="Times New Roman"/>
                <w:sz w:val="24"/>
                <w:szCs w:val="24"/>
              </w:rPr>
              <w:t xml:space="preserve">______% of Net Revenue</w:t>
            </w:r>
          </w:p>
        </w:tc>
      </w:tr>
      <w:tr>
        <w:tc>
          <w:tcPr>
            <w:tcW w:type="pct" w:w="35%"/>
            <w:shd w:color="F5F5F5" w:val="clear"/>
          </w:tcPr>
          <w:p>
            <w:pPr>
              <w:spacing w:after="160"/>
              <w:jc w:val="both"/>
            </w:pPr>
            <w:r>
              <w:rPr>
                <w:rFonts w:ascii="Times New Roman" w:cs="Times New Roman" w:eastAsia="Times New Roman" w:hAnsi="Times New Roman"/>
                <w:sz w:val="24"/>
                <w:szCs w:val="24"/>
              </w:rPr>
              <w:t xml:space="preserve">Minimum Annual Royalty:</w:t>
            </w:r>
          </w:p>
        </w:tc>
        <w:tc>
          <w:tcPr>
            <w:tcW w:type="pct" w:w="65%"/>
          </w:tcPr>
          <w:p>
            <w:pPr>
              <w:spacing w:after="160"/>
              <w:jc w:val="both"/>
            </w:pPr>
            <w:r>
              <w:rPr>
                <w:rFonts w:ascii="Times New Roman" w:cs="Times New Roman" w:eastAsia="Times New Roman" w:hAnsi="Times New Roman"/>
                <w:sz w:val="24"/>
                <w:szCs w:val="24"/>
              </w:rPr>
              <w:t xml:space="preserve">$__________ (beginning Year 2)</w:t>
            </w:r>
          </w:p>
        </w:tc>
      </w:tr>
      <w:tr>
        <w:tc>
          <w:tcPr>
            <w:tcW w:type="pct" w:w="35%"/>
            <w:shd w:color="F5F5F5" w:val="clear"/>
          </w:tcPr>
          <w:p>
            <w:pPr>
              <w:spacing w:after="160"/>
              <w:jc w:val="both"/>
            </w:pPr>
            <w:r>
              <w:rPr>
                <w:rFonts w:ascii="Times New Roman" w:cs="Times New Roman" w:eastAsia="Times New Roman" w:hAnsi="Times New Roman"/>
                <w:sz w:val="24"/>
                <w:szCs w:val="24"/>
              </w:rPr>
              <w:t xml:space="preserve">Payment Terms:</w:t>
            </w:r>
          </w:p>
        </w:tc>
        <w:tc>
          <w:tcPr>
            <w:tcW w:type="pct" w:w="65%"/>
          </w:tcPr>
          <w:p>
            <w:pPr>
              <w:spacing w:after="160"/>
              <w:jc w:val="both"/>
            </w:pPr>
            <w:r>
              <w:rPr>
                <w:rFonts w:ascii="Times New Roman" w:cs="Times New Roman" w:eastAsia="Times New Roman" w:hAnsi="Times New Roman"/>
                <w:sz w:val="24"/>
                <w:szCs w:val="24"/>
              </w:rPr>
              <w:t xml:space="preserve">Quarterly, within 45 days of quarter-end</w:t>
            </w:r>
          </w:p>
        </w:tc>
      </w:tr>
    </w:tbl>
    <w:p>
      <w:pPr>
        <w:spacing w:after="200"/>
      </w:pPr>
    </w:p>
    <w:p>
      <w:pPr>
        <w:spacing w:after="200"/>
      </w:pPr>
    </w:p>
    <w:p>
      <w:pPr>
        <w:spacing w:after="80" w:before="240"/>
      </w:pPr>
      <w:r>
        <w:rPr>
          <w:rFonts w:ascii="Times New Roman" w:cs="Times New Roman" w:eastAsia="Times New Roman" w:hAnsi="Times New Roman"/>
          <w:b/>
          <w:bCs/>
          <w:sz w:val="24"/>
          <w:szCs w:val="24"/>
          <w:u w:val="single"/>
        </w:rPr>
        <w:t xml:space="preserve">SIGNATURES</w:t>
      </w:r>
    </w:p>
    <w:p>
      <w:pPr>
        <w:spacing w:after="200"/>
      </w:pPr>
    </w:p>
    <w:tbl>
      <w:tblPr>
        <w:tblW w:type="pct" w:w="100%"/>
        <w:tblBorders>
          <w:top w:val="none"/>
          <w:left w:val="none"/>
          <w:bottom w:val="none"/>
          <w:right w:val="none"/>
          <w:insideH w:val="single" w:color="auto" w:sz="4"/>
          <w:insideV w:val="single" w:color="auto" w:sz="4"/>
        </w:tblBorders>
      </w:tblPr>
      <w:tblGrid>
        <w:gridCol w:w="100"/>
        <w:gridCol w:w="100"/>
      </w:tblGrid>
      <w:tr>
        <w:tc>
          <w:tcPr>
            <w:tcBorders>
              <w:top w:val="none"/>
              <w:left w:val="none"/>
              <w:bottom w:val="none"/>
              <w:right w:val="none"/>
            </w:tcBorders>
          </w:tcPr>
          <w:p>
            <w:pPr>
              <w:spacing w:after="160"/>
              <w:jc w:val="both"/>
            </w:pPr>
            <w:r>
              <w:rPr>
                <w:rFonts w:ascii="Times New Roman" w:cs="Times New Roman" w:eastAsia="Times New Roman" w:hAnsi="Times New Roman"/>
                <w:sz w:val="24"/>
                <w:szCs w:val="24"/>
              </w:rPr>
              <w:t xml:space="preserve">LICENSOR: Ripley &amp; Ripley Research
Rodney A. Ripley Jr., Principal Researcher</w:t>
            </w:r>
          </w:p>
          <w:p>
            <w:pPr>
              <w:spacing w:after="200"/>
            </w:pPr>
          </w:p>
          <w:p>
            <w:pPr>
              <w:spacing w:after="40" w:before="240"/>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__________________________________________________</w:t>
            </w:r>
          </w:p>
        </w:tc>
        <w:tc>
          <w:tcPr>
            <w:tcBorders>
              <w:top w:val="none"/>
              <w:left w:val="none"/>
              <w:bottom w:val="none"/>
              <w:right w:val="none"/>
            </w:tcBorders>
          </w:tcPr>
          <w:p>
            <w:pPr>
              <w:spacing w:after="160"/>
              <w:jc w:val="both"/>
            </w:pPr>
            <w:r>
              <w:rPr>
                <w:rFonts w:ascii="Times New Roman" w:cs="Times New Roman" w:eastAsia="Times New Roman" w:hAnsi="Times New Roman"/>
                <w:sz w:val="24"/>
                <w:szCs w:val="24"/>
              </w:rPr>
              <w:t xml:space="preserve">LICENSEE: [Company / Agency Name]</w:t>
            </w:r>
          </w:p>
          <w:p>
            <w:pPr>
              <w:spacing w:after="200"/>
            </w:pPr>
          </w:p>
          <w:p>
            <w:pPr>
              <w:spacing w:after="40" w:before="240"/>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__________________________________________________</w:t>
            </w:r>
          </w:p>
        </w:tc>
      </w:tr>
    </w:tbl>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2026-03-26T09:57:32.521Z</dcterms:created>
  <dcterms:modified xsi:type="dcterms:W3CDTF">2026-03-26T09:57:32.521Z</dcterms:modified>
</cp:coreProperties>
</file>

<file path=docProps/custom.xml><?xml version="1.0" encoding="utf-8"?>
<Properties xmlns="http://schemas.openxmlformats.org/officeDocument/2006/custom-properties" xmlns:vt="http://schemas.openxmlformats.org/officeDocument/2006/docPropsVTypes"/>
</file>