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bCs/>
          <w:sz w:val="96"/>
          <w:szCs w:val="96"/>
        </w:rPr>
        <w:t>MPA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jc w:val="center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jc w:val="center"/>
        <w:rPr>
          <w:sz w:val="48"/>
          <w:szCs w:val="48"/>
        </w:rPr>
      </w:pPr>
      <w:r>
        <w:rPr>
          <w:sz w:val="48"/>
          <w:szCs w:val="48"/>
        </w:rPr>
        <w:t>PROJETO DE INOVAÇÃO</w:t>
      </w:r>
    </w:p>
    <w:p>
      <w:pPr>
        <w:pStyle w:val="Normal"/>
        <w:jc w:val="center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jc w:val="end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Equipe:</w:t>
      </w:r>
    </w:p>
    <w:p>
      <w:pPr>
        <w:pStyle w:val="Normal"/>
        <w:suppressLineNumbers w:val="0"/>
        <w:bidi w:val="0"/>
        <w:spacing w:lineRule="auto" w:line="259" w:beforeAutospacing="0" w:before="0" w:afterAutospacing="0" w:after="160"/>
        <w:ind w:start="0" w:end="0"/>
        <w:jc w:val="end"/>
        <w:rPr>
          <w:sz w:val="36"/>
          <w:szCs w:val="36"/>
        </w:rPr>
      </w:pPr>
      <w:r>
        <w:rPr>
          <w:sz w:val="36"/>
          <w:szCs w:val="36"/>
        </w:rPr>
        <w:t>Guilherme Cardoso</w:t>
      </w:r>
    </w:p>
    <w:p>
      <w:pPr>
        <w:pStyle w:val="Normal"/>
        <w:suppressLineNumbers w:val="0"/>
        <w:bidi w:val="0"/>
        <w:spacing w:lineRule="auto" w:line="259" w:beforeAutospacing="0" w:before="0" w:afterAutospacing="0" w:after="160"/>
        <w:ind w:start="0" w:end="0"/>
        <w:jc w:val="end"/>
        <w:rPr>
          <w:sz w:val="36"/>
          <w:szCs w:val="36"/>
        </w:rPr>
      </w:pPr>
      <w:r>
        <w:rPr>
          <w:sz w:val="36"/>
          <w:szCs w:val="36"/>
        </w:rPr>
        <w:t>Lucas Kühl</w:t>
      </w:r>
    </w:p>
    <w:p>
      <w:pPr>
        <w:pStyle w:val="Normal"/>
        <w:suppressLineNumbers w:val="0"/>
        <w:bidi w:val="0"/>
        <w:spacing w:lineRule="auto" w:line="259" w:beforeAutospacing="0" w:before="0" w:afterAutospacing="0" w:after="160"/>
        <w:ind w:start="0" w:end="0"/>
        <w:jc w:val="end"/>
        <w:rPr>
          <w:sz w:val="36"/>
          <w:szCs w:val="36"/>
        </w:rPr>
      </w:pPr>
      <w:r>
        <w:rPr>
          <w:sz w:val="36"/>
          <w:szCs w:val="36"/>
        </w:rPr>
        <w:t>Vilson Kühl</w:t>
      </w:r>
    </w:p>
    <w:p>
      <w:pPr>
        <w:pStyle w:val="Normal"/>
        <w:suppressLineNumbers w:val="0"/>
        <w:bidi w:val="0"/>
        <w:spacing w:lineRule="auto" w:line="259" w:beforeAutospacing="0" w:before="0" w:afterAutospacing="0" w:after="160"/>
        <w:ind w:start="0" w:end="0"/>
        <w:jc w:val="end"/>
        <w:rPr>
          <w:sz w:val="36"/>
          <w:szCs w:val="36"/>
        </w:rPr>
      </w:pPr>
      <w:r>
        <w:rPr>
          <w:sz w:val="36"/>
          <w:szCs w:val="36"/>
        </w:rPr>
        <w:t>Gustavo Henrique Alves</w:t>
      </w:r>
    </w:p>
    <w:p>
      <w:pPr>
        <w:pStyle w:val="Normal"/>
        <w:jc w:val="end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center"/>
        <w:rPr>
          <w:sz w:val="48"/>
          <w:szCs w:val="48"/>
        </w:rPr>
      </w:pPr>
      <w:r>
        <w:rPr>
          <w:sz w:val="48"/>
          <w:szCs w:val="48"/>
        </w:rPr>
        <w:t>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ind w:hanging="0" w:start="0"/>
            <w:rPr/>
          </w:pPr>
          <w:r>
            <w:rPr/>
            <w:t>Sumário</w:t>
          </w:r>
        </w:p>
        <w:p>
          <w:pPr>
            <w:pStyle w:val="TOC1"/>
            <w:tabs>
              <w:tab w:val="clear" w:pos="708"/>
              <w:tab w:val="left" w:pos="440" w:leader="none"/>
              <w:tab w:val="right" w:pos="8503" w:leader="dot"/>
            </w:tabs>
            <w:rPr/>
          </w:pPr>
          <w:r>
            <w:fldChar w:fldCharType="begin"/>
          </w:r>
          <w:r>
            <w:rPr>
              <w:rStyle w:val="Vnculodendiceuser"/>
              <w:vanish w:val="false"/>
            </w:rPr>
            <w:instrText xml:space="preserve"> TOC \z \o "1-3" \u \h</w:instrText>
          </w:r>
          <w:r>
            <w:rPr>
              <w:rStyle w:val="Vnculodendiceuser"/>
              <w:vanish w:val="false"/>
            </w:rPr>
            <w:fldChar w:fldCharType="separate"/>
          </w:r>
          <w:r>
            <w:rPr>
              <w:rStyle w:val="Vnculodendiceuser"/>
              <w:vanish w:val="false"/>
            </w:rPr>
            <w:t>1</w:t>
          </w:r>
          <w:r>
            <w:rPr>
              <w:vanish w:val="false"/>
            </w:rPr>
            <w:tab/>
            <w:t>Sumário Executivo</w:t>
            <w:tab/>
            <w:t>4</w:t>
          </w:r>
        </w:p>
        <w:p>
          <w:pPr>
            <w:pStyle w:val="TOC1"/>
            <w:tabs>
              <w:tab w:val="clear" w:pos="708"/>
              <w:tab w:val="left" w:pos="440" w:leader="none"/>
              <w:tab w:val="right" w:pos="8503" w:leader="dot"/>
            </w:tabs>
            <w:rPr/>
          </w:pPr>
          <w:r>
            <w:rPr>
              <w:vanish w:val="false"/>
            </w:rPr>
            <w:t>2</w:t>
            <w:tab/>
            <w:t>Imersão</w:t>
            <w:tab/>
            <w:t>4</w:t>
          </w:r>
        </w:p>
        <w:p>
          <w:pPr>
            <w:pStyle w:val="TOC2"/>
            <w:tabs>
              <w:tab w:val="clear" w:pos="708"/>
              <w:tab w:val="left" w:pos="880" w:leader="none"/>
              <w:tab w:val="right" w:pos="8503" w:leader="dot"/>
            </w:tabs>
            <w:rPr/>
          </w:pPr>
          <w:r>
            <w:rPr>
              <w:vanish w:val="false"/>
            </w:rPr>
            <w:t>2.1</w:t>
            <w:tab/>
            <w:t>Reenquadramento</w:t>
            <w:tab/>
            <w:t>4</w:t>
          </w:r>
        </w:p>
        <w:p>
          <w:pPr>
            <w:pStyle w:val="TOC3"/>
            <w:tabs>
              <w:tab w:val="clear" w:pos="708"/>
              <w:tab w:val="left" w:pos="1320" w:leader="none"/>
              <w:tab w:val="right" w:pos="8503" w:leader="dot"/>
            </w:tabs>
            <w:rPr/>
          </w:pPr>
          <w:r>
            <w:rPr>
              <w:vanish w:val="false"/>
            </w:rPr>
            <w:t>2.1.1</w:t>
            <w:tab/>
            <w:t>Motivos para o emprego desta técnica</w:t>
            <w:tab/>
            <w:t>4</w:t>
          </w:r>
        </w:p>
        <w:p>
          <w:pPr>
            <w:pStyle w:val="TOC3"/>
            <w:tabs>
              <w:tab w:val="clear" w:pos="708"/>
              <w:tab w:val="left" w:pos="1320" w:leader="none"/>
              <w:tab w:val="right" w:pos="8503" w:leader="dot"/>
            </w:tabs>
            <w:rPr/>
          </w:pPr>
          <w:r>
            <w:rPr>
              <w:vanish w:val="false"/>
            </w:rPr>
            <w:t>2.1.2</w:t>
            <w:tab/>
            <w:t>Como a técnica foi empregada</w:t>
            <w:tab/>
            <w:t>5</w:t>
          </w:r>
        </w:p>
        <w:p>
          <w:pPr>
            <w:pStyle w:val="TOC3"/>
            <w:tabs>
              <w:tab w:val="clear" w:pos="708"/>
              <w:tab w:val="left" w:pos="1320" w:leader="none"/>
              <w:tab w:val="right" w:pos="8503" w:leader="dot"/>
            </w:tabs>
            <w:rPr/>
          </w:pPr>
          <w:r>
            <w:rPr>
              <w:vanish w:val="false"/>
            </w:rPr>
            <w:t>2.1.3</w:t>
            <w:tab/>
            <w:t>Resultados obtidos</w:t>
            <w:tab/>
            <w:t>5</w:t>
          </w:r>
        </w:p>
        <w:p>
          <w:pPr>
            <w:pStyle w:val="TOC2"/>
            <w:tabs>
              <w:tab w:val="clear" w:pos="708"/>
              <w:tab w:val="left" w:pos="880" w:leader="none"/>
              <w:tab w:val="right" w:pos="8503" w:leader="dot"/>
            </w:tabs>
            <w:rPr/>
          </w:pPr>
          <w:r>
            <w:rPr>
              <w:vanish w:val="false"/>
            </w:rPr>
            <w:t>2.2</w:t>
            <w:tab/>
            <w:t>Pesquisa de Campo e Observação Direta</w:t>
            <w:tab/>
            <w:t>5</w:t>
          </w:r>
        </w:p>
        <w:p>
          <w:pPr>
            <w:pStyle w:val="TOC3"/>
            <w:tabs>
              <w:tab w:val="clear" w:pos="708"/>
              <w:tab w:val="left" w:pos="1320" w:leader="none"/>
              <w:tab w:val="right" w:pos="8503" w:leader="dot"/>
            </w:tabs>
            <w:rPr/>
          </w:pPr>
          <w:r>
            <w:rPr>
              <w:vanish w:val="false"/>
            </w:rPr>
            <w:t>2.2.1</w:t>
            <w:tab/>
            <w:t>Motivos para o emprego desta técnica</w:t>
            <w:tab/>
            <w:t>5</w:t>
          </w:r>
        </w:p>
        <w:p>
          <w:pPr>
            <w:pStyle w:val="TOC3"/>
            <w:tabs>
              <w:tab w:val="clear" w:pos="708"/>
              <w:tab w:val="left" w:pos="1320" w:leader="none"/>
              <w:tab w:val="right" w:pos="8503" w:leader="dot"/>
            </w:tabs>
            <w:rPr/>
          </w:pPr>
          <w:r>
            <w:rPr>
              <w:vanish w:val="false"/>
            </w:rPr>
            <w:t>2.2.2</w:t>
            <w:tab/>
            <w:t>Como a técnica foi empregada</w:t>
            <w:tab/>
            <w:t>5</w:t>
          </w:r>
        </w:p>
        <w:p>
          <w:pPr>
            <w:pStyle w:val="TOC3"/>
            <w:tabs>
              <w:tab w:val="clear" w:pos="708"/>
              <w:tab w:val="left" w:pos="1320" w:leader="none"/>
              <w:tab w:val="right" w:pos="8503" w:leader="dot"/>
            </w:tabs>
            <w:rPr/>
          </w:pPr>
          <w:r>
            <w:rPr>
              <w:vanish w:val="false"/>
            </w:rPr>
            <w:t>2.2.3</w:t>
            <w:tab/>
            <w:t>Resultados obtidos</w:t>
            <w:tab/>
            <w:t>6</w:t>
          </w:r>
        </w:p>
        <w:p>
          <w:pPr>
            <w:pStyle w:val="TOC2"/>
            <w:tabs>
              <w:tab w:val="clear" w:pos="708"/>
              <w:tab w:val="left" w:pos="880" w:leader="none"/>
              <w:tab w:val="right" w:pos="8503" w:leader="dot"/>
            </w:tabs>
            <w:rPr/>
          </w:pPr>
          <w:r>
            <w:rPr>
              <w:vanish w:val="false"/>
            </w:rPr>
            <w:t>2.3</w:t>
            <w:tab/>
            <w:t>Resultados da etapa de imersão</w:t>
            <w:tab/>
            <w:t>6</w:t>
          </w:r>
        </w:p>
        <w:p>
          <w:pPr>
            <w:pStyle w:val="TOC1"/>
            <w:tabs>
              <w:tab w:val="clear" w:pos="708"/>
              <w:tab w:val="left" w:pos="440" w:leader="none"/>
              <w:tab w:val="right" w:pos="8503" w:leader="dot"/>
            </w:tabs>
            <w:rPr/>
          </w:pPr>
          <w:r>
            <w:rPr>
              <w:vanish w:val="false"/>
            </w:rPr>
            <w:t>3</w:t>
            <w:tab/>
            <w:t>Análise e síntese</w:t>
            <w:tab/>
            <w:t>6</w:t>
          </w:r>
        </w:p>
        <w:p>
          <w:pPr>
            <w:pStyle w:val="TOC2"/>
            <w:tabs>
              <w:tab w:val="clear" w:pos="708"/>
              <w:tab w:val="left" w:pos="880" w:leader="none"/>
              <w:tab w:val="right" w:pos="8503" w:leader="dot"/>
            </w:tabs>
            <w:rPr/>
          </w:pPr>
          <w:r>
            <w:rPr>
              <w:vanish w:val="false"/>
            </w:rPr>
            <w:t>3.1</w:t>
            <w:tab/>
            <w:t>Mapeamento de Fluxo de Dados (Data Flow Mapping)</w:t>
            <w:tab/>
            <w:t>6</w:t>
          </w:r>
        </w:p>
        <w:p>
          <w:pPr>
            <w:pStyle w:val="TOC3"/>
            <w:tabs>
              <w:tab w:val="clear" w:pos="708"/>
              <w:tab w:val="left" w:pos="1320" w:leader="none"/>
              <w:tab w:val="right" w:pos="8503" w:leader="dot"/>
            </w:tabs>
            <w:rPr/>
          </w:pPr>
          <w:r>
            <w:rPr>
              <w:vanish w:val="false"/>
            </w:rPr>
            <w:t>3.1.1</w:t>
            <w:tab/>
            <w:t>Motivos para o emprego desta técnica</w:t>
            <w:tab/>
            <w:t>6</w:t>
          </w:r>
        </w:p>
        <w:p>
          <w:pPr>
            <w:pStyle w:val="TOC3"/>
            <w:tabs>
              <w:tab w:val="clear" w:pos="708"/>
              <w:tab w:val="left" w:pos="1320" w:leader="none"/>
              <w:tab w:val="right" w:pos="8503" w:leader="dot"/>
            </w:tabs>
            <w:rPr/>
          </w:pPr>
          <w:r>
            <w:rPr>
              <w:vanish w:val="false"/>
            </w:rPr>
            <w:t>3.1.2</w:t>
            <w:tab/>
            <w:t>Como a técnica foi empregada</w:t>
            <w:tab/>
            <w:t>6</w:t>
          </w:r>
        </w:p>
        <w:p>
          <w:pPr>
            <w:pStyle w:val="TOC3"/>
            <w:tabs>
              <w:tab w:val="clear" w:pos="708"/>
              <w:tab w:val="left" w:pos="1320" w:leader="none"/>
              <w:tab w:val="right" w:pos="8503" w:leader="dot"/>
            </w:tabs>
            <w:rPr/>
          </w:pPr>
          <w:r>
            <w:rPr>
              <w:vanish w:val="false"/>
            </w:rPr>
            <w:t>3.1.3</w:t>
            <w:tab/>
            <w:t>Resultados obtidos</w:t>
            <w:tab/>
            <w:t>7</w:t>
          </w:r>
        </w:p>
        <w:p>
          <w:pPr>
            <w:pStyle w:val="TOC2"/>
            <w:tabs>
              <w:tab w:val="clear" w:pos="708"/>
              <w:tab w:val="left" w:pos="880" w:leader="none"/>
              <w:tab w:val="right" w:pos="8503" w:leader="dot"/>
            </w:tabs>
            <w:rPr/>
          </w:pPr>
          <w:r>
            <w:rPr>
              <w:vanish w:val="false"/>
            </w:rPr>
            <w:t>3.2</w:t>
            <w:tab/>
            <w:t>Matriz de Requisitos Técnicos</w:t>
            <w:tab/>
            <w:t>7</w:t>
          </w:r>
        </w:p>
        <w:p>
          <w:pPr>
            <w:pStyle w:val="TOC3"/>
            <w:tabs>
              <w:tab w:val="clear" w:pos="708"/>
              <w:tab w:val="left" w:pos="1320" w:leader="none"/>
              <w:tab w:val="right" w:pos="8503" w:leader="dot"/>
            </w:tabs>
            <w:rPr/>
          </w:pPr>
          <w:r>
            <w:rPr>
              <w:vanish w:val="false"/>
            </w:rPr>
            <w:t>3.2.1</w:t>
            <w:tab/>
            <w:t>Motivos para o emprego desta técnica</w:t>
            <w:tab/>
            <w:t>7</w:t>
          </w:r>
        </w:p>
        <w:p>
          <w:pPr>
            <w:pStyle w:val="TOC3"/>
            <w:tabs>
              <w:tab w:val="clear" w:pos="708"/>
              <w:tab w:val="left" w:pos="1320" w:leader="none"/>
              <w:tab w:val="right" w:pos="8503" w:leader="dot"/>
            </w:tabs>
            <w:rPr/>
          </w:pPr>
          <w:r>
            <w:rPr>
              <w:vanish w:val="false"/>
            </w:rPr>
            <w:t>3.2.2</w:t>
            <w:tab/>
            <w:t>Como a técnica foi empregada</w:t>
            <w:tab/>
            <w:t>7</w:t>
          </w:r>
        </w:p>
        <w:p>
          <w:pPr>
            <w:pStyle w:val="TOC3"/>
            <w:tabs>
              <w:tab w:val="clear" w:pos="708"/>
              <w:tab w:val="left" w:pos="1320" w:leader="none"/>
              <w:tab w:val="right" w:pos="8503" w:leader="dot"/>
            </w:tabs>
            <w:rPr/>
          </w:pPr>
          <w:r>
            <w:rPr>
              <w:vanish w:val="false"/>
            </w:rPr>
            <w:t>3.2.3</w:t>
            <w:tab/>
            <w:t>Resultados obtidos</w:t>
            <w:tab/>
            <w:t>7</w:t>
          </w:r>
        </w:p>
        <w:p>
          <w:pPr>
            <w:pStyle w:val="TOC2"/>
            <w:tabs>
              <w:tab w:val="clear" w:pos="708"/>
              <w:tab w:val="left" w:pos="880" w:leader="none"/>
              <w:tab w:val="right" w:pos="8503" w:leader="dot"/>
            </w:tabs>
            <w:rPr/>
          </w:pPr>
          <w:r>
            <w:rPr>
              <w:vanish w:val="false"/>
            </w:rPr>
            <w:t>3.3</w:t>
            <w:tab/>
            <w:t>Resultados da etapa de análise e síntese</w:t>
            <w:tab/>
            <w:t>7</w:t>
          </w:r>
        </w:p>
        <w:p>
          <w:pPr>
            <w:pStyle w:val="TOC1"/>
            <w:tabs>
              <w:tab w:val="clear" w:pos="708"/>
              <w:tab w:val="left" w:pos="440" w:leader="none"/>
              <w:tab w:val="right" w:pos="8503" w:leader="dot"/>
            </w:tabs>
            <w:rPr/>
          </w:pPr>
          <w:r>
            <w:rPr>
              <w:vanish w:val="false"/>
            </w:rPr>
            <w:t>4</w:t>
            <w:tab/>
            <w:t>Ideação</w:t>
            <w:tab/>
            <w:t>8</w:t>
          </w:r>
        </w:p>
        <w:p>
          <w:pPr>
            <w:pStyle w:val="TOC2"/>
            <w:tabs>
              <w:tab w:val="clear" w:pos="708"/>
              <w:tab w:val="left" w:pos="880" w:leader="none"/>
              <w:tab w:val="right" w:pos="8503" w:leader="dot"/>
            </w:tabs>
            <w:rPr/>
          </w:pPr>
          <w:r>
            <w:rPr>
              <w:vanish w:val="false"/>
            </w:rPr>
            <w:t>4.1</w:t>
            <w:tab/>
            <w:t>Brainstorming de Arquitetura de IA (Engenharia de Prompts)</w:t>
            <w:tab/>
            <w:t>8</w:t>
          </w:r>
        </w:p>
        <w:p>
          <w:pPr>
            <w:pStyle w:val="TOC3"/>
            <w:tabs>
              <w:tab w:val="clear" w:pos="708"/>
              <w:tab w:val="left" w:pos="1320" w:leader="none"/>
              <w:tab w:val="right" w:pos="8503" w:leader="dot"/>
            </w:tabs>
            <w:rPr/>
          </w:pPr>
          <w:r>
            <w:rPr>
              <w:vanish w:val="false"/>
            </w:rPr>
            <w:t>4.1.1</w:t>
            <w:tab/>
            <w:t>Motivos para o emprego desta técnica</w:t>
            <w:tab/>
            <w:t>8</w:t>
          </w:r>
        </w:p>
        <w:p>
          <w:pPr>
            <w:pStyle w:val="TOC3"/>
            <w:tabs>
              <w:tab w:val="clear" w:pos="708"/>
              <w:tab w:val="left" w:pos="1320" w:leader="none"/>
              <w:tab w:val="right" w:pos="8503" w:leader="dot"/>
            </w:tabs>
            <w:rPr/>
          </w:pPr>
          <w:r>
            <w:rPr>
              <w:vanish w:val="false"/>
            </w:rPr>
            <w:t>4.1.2</w:t>
            <w:tab/>
            <w:t>Como a técnica foi empregada</w:t>
            <w:tab/>
            <w:t>8</w:t>
          </w:r>
        </w:p>
        <w:p>
          <w:pPr>
            <w:pStyle w:val="TOC3"/>
            <w:tabs>
              <w:tab w:val="clear" w:pos="708"/>
              <w:tab w:val="left" w:pos="1320" w:leader="none"/>
              <w:tab w:val="right" w:pos="8503" w:leader="dot"/>
            </w:tabs>
            <w:rPr/>
          </w:pPr>
          <w:r>
            <w:rPr>
              <w:vanish w:val="false"/>
            </w:rPr>
            <w:t>4.1.3</w:t>
            <w:tab/>
            <w:t>Resultados obtidos</w:t>
            <w:tab/>
            <w:t>8</w:t>
          </w:r>
        </w:p>
        <w:p>
          <w:pPr>
            <w:pStyle w:val="TOC2"/>
            <w:tabs>
              <w:tab w:val="clear" w:pos="708"/>
              <w:tab w:val="left" w:pos="880" w:leader="none"/>
              <w:tab w:val="right" w:pos="8503" w:leader="dot"/>
            </w:tabs>
            <w:rPr/>
          </w:pPr>
          <w:r>
            <w:rPr>
              <w:vanish w:val="false"/>
            </w:rPr>
            <w:t>4.2</w:t>
            <w:tab/>
            <w:t>Matriz de Decisão de Ferramentas (Esforço x Impacto)</w:t>
            <w:tab/>
            <w:t>8</w:t>
          </w:r>
        </w:p>
        <w:p>
          <w:pPr>
            <w:pStyle w:val="TOC3"/>
            <w:tabs>
              <w:tab w:val="clear" w:pos="708"/>
              <w:tab w:val="left" w:pos="1320" w:leader="none"/>
              <w:tab w:val="right" w:pos="8503" w:leader="dot"/>
            </w:tabs>
            <w:rPr/>
          </w:pPr>
          <w:r>
            <w:rPr>
              <w:vanish w:val="false"/>
            </w:rPr>
            <w:t>4.2.1</w:t>
            <w:tab/>
            <w:t>Motivos para o emprego desta técnica</w:t>
            <w:tab/>
            <w:t>8</w:t>
          </w:r>
        </w:p>
        <w:p>
          <w:pPr>
            <w:pStyle w:val="TOC3"/>
            <w:tabs>
              <w:tab w:val="clear" w:pos="708"/>
              <w:tab w:val="left" w:pos="1320" w:leader="none"/>
              <w:tab w:val="right" w:pos="8503" w:leader="dot"/>
            </w:tabs>
            <w:rPr/>
          </w:pPr>
          <w:r>
            <w:rPr>
              <w:vanish w:val="false"/>
            </w:rPr>
            <w:t>4.2.2</w:t>
            <w:tab/>
            <w:t>Como a técnica foi empregada</w:t>
            <w:tab/>
            <w:t>8</w:t>
          </w:r>
        </w:p>
        <w:p>
          <w:pPr>
            <w:pStyle w:val="TOC3"/>
            <w:tabs>
              <w:tab w:val="clear" w:pos="708"/>
              <w:tab w:val="left" w:pos="1320" w:leader="none"/>
              <w:tab w:val="right" w:pos="8503" w:leader="dot"/>
            </w:tabs>
            <w:rPr/>
          </w:pPr>
          <w:r>
            <w:rPr>
              <w:vanish w:val="false"/>
            </w:rPr>
            <w:t>4.2.3</w:t>
            <w:tab/>
            <w:t>Resultados obtidos</w:t>
            <w:tab/>
            <w:t>8</w:t>
          </w:r>
        </w:p>
        <w:p>
          <w:pPr>
            <w:pStyle w:val="TOC2"/>
            <w:tabs>
              <w:tab w:val="clear" w:pos="708"/>
              <w:tab w:val="left" w:pos="880" w:leader="none"/>
              <w:tab w:val="right" w:pos="8503" w:leader="dot"/>
            </w:tabs>
            <w:rPr/>
          </w:pPr>
          <w:r>
            <w:rPr>
              <w:vanish w:val="false"/>
            </w:rPr>
            <w:t>4.3</w:t>
            <w:tab/>
            <w:t>Resultados da etapa de Ideação</w:t>
            <w:tab/>
            <w:t>9</w:t>
          </w:r>
        </w:p>
        <w:p>
          <w:pPr>
            <w:pStyle w:val="TOC1"/>
            <w:tabs>
              <w:tab w:val="clear" w:pos="708"/>
              <w:tab w:val="left" w:pos="440" w:leader="none"/>
              <w:tab w:val="right" w:pos="8503" w:leader="dot"/>
            </w:tabs>
            <w:rPr/>
          </w:pPr>
          <w:r>
            <w:rPr>
              <w:vanish w:val="false"/>
            </w:rPr>
            <w:t>5</w:t>
            <w:tab/>
            <w:t>Prototipação</w:t>
            <w:tab/>
            <w:t>9</w:t>
          </w:r>
        </w:p>
        <w:p>
          <w:pPr>
            <w:pStyle w:val="TOC2"/>
            <w:tabs>
              <w:tab w:val="clear" w:pos="708"/>
              <w:tab w:val="left" w:pos="880" w:leader="none"/>
              <w:tab w:val="right" w:pos="8503" w:leader="dot"/>
            </w:tabs>
            <w:rPr/>
          </w:pPr>
          <w:r>
            <w:rPr>
              <w:vanish w:val="false"/>
            </w:rPr>
            <w:t>5.1</w:t>
            <w:tab/>
            <w:t>Prova de Conceito em Código (PoC - Backend)</w:t>
            <w:tab/>
            <w:t>9</w:t>
          </w:r>
        </w:p>
        <w:p>
          <w:pPr>
            <w:pStyle w:val="TOC3"/>
            <w:tabs>
              <w:tab w:val="clear" w:pos="708"/>
              <w:tab w:val="left" w:pos="1320" w:leader="none"/>
              <w:tab w:val="right" w:pos="8503" w:leader="dot"/>
            </w:tabs>
            <w:rPr/>
          </w:pPr>
          <w:r>
            <w:rPr>
              <w:vanish w:val="false"/>
            </w:rPr>
            <w:t>5.1.1</w:t>
            <w:tab/>
            <w:t>Motivos para o emprego desta técnica</w:t>
            <w:tab/>
            <w:t>9</w:t>
          </w:r>
        </w:p>
        <w:p>
          <w:pPr>
            <w:pStyle w:val="TOC3"/>
            <w:tabs>
              <w:tab w:val="clear" w:pos="708"/>
              <w:tab w:val="left" w:pos="1320" w:leader="none"/>
              <w:tab w:val="right" w:pos="8503" w:leader="dot"/>
            </w:tabs>
            <w:rPr/>
          </w:pPr>
          <w:r>
            <w:rPr>
              <w:vanish w:val="false"/>
            </w:rPr>
            <w:t>5.1.2</w:t>
            <w:tab/>
            <w:t>Como a técnica foi empregada</w:t>
            <w:tab/>
            <w:t>9</w:t>
          </w:r>
        </w:p>
        <w:p>
          <w:pPr>
            <w:pStyle w:val="TOC3"/>
            <w:tabs>
              <w:tab w:val="clear" w:pos="708"/>
              <w:tab w:val="left" w:pos="1320" w:leader="none"/>
              <w:tab w:val="right" w:pos="8503" w:leader="dot"/>
            </w:tabs>
            <w:rPr/>
          </w:pPr>
          <w:r>
            <w:rPr>
              <w:vanish w:val="false"/>
            </w:rPr>
            <w:t>5.1.3</w:t>
            <w:tab/>
            <w:t>Resultados obtidos</w:t>
            <w:tab/>
            <w:t>9</w:t>
          </w:r>
        </w:p>
        <w:p>
          <w:pPr>
            <w:pStyle w:val="TOC2"/>
            <w:tabs>
              <w:tab w:val="clear" w:pos="708"/>
              <w:tab w:val="left" w:pos="880" w:leader="none"/>
              <w:tab w:val="right" w:pos="8503" w:leader="dot"/>
            </w:tabs>
            <w:rPr/>
          </w:pPr>
          <w:r>
            <w:rPr>
              <w:vanish w:val="false"/>
            </w:rPr>
            <w:t>5.2</w:t>
            <w:tab/>
            <w:t>Mockup Funcional Web (Frontend interativo)</w:t>
            <w:tab/>
            <w:t>10</w:t>
          </w:r>
        </w:p>
        <w:p>
          <w:pPr>
            <w:pStyle w:val="TOC3"/>
            <w:tabs>
              <w:tab w:val="clear" w:pos="708"/>
              <w:tab w:val="left" w:pos="1320" w:leader="none"/>
              <w:tab w:val="right" w:pos="8503" w:leader="dot"/>
            </w:tabs>
            <w:rPr/>
          </w:pPr>
          <w:r>
            <w:rPr>
              <w:vanish w:val="false"/>
            </w:rPr>
            <w:t>5.2.1</w:t>
            <w:tab/>
            <w:t>Motivos para o emprego desta técnica</w:t>
            <w:tab/>
            <w:t>10</w:t>
          </w:r>
        </w:p>
        <w:p>
          <w:pPr>
            <w:pStyle w:val="TOC3"/>
            <w:tabs>
              <w:tab w:val="clear" w:pos="708"/>
              <w:tab w:val="left" w:pos="1320" w:leader="none"/>
              <w:tab w:val="right" w:pos="8503" w:leader="dot"/>
            </w:tabs>
            <w:rPr/>
          </w:pPr>
          <w:r>
            <w:rPr>
              <w:vanish w:val="false"/>
            </w:rPr>
            <w:t>5.2.2</w:t>
            <w:tab/>
            <w:t>Como a técnica foi empregada</w:t>
            <w:tab/>
            <w:t>10</w:t>
          </w:r>
        </w:p>
        <w:p>
          <w:pPr>
            <w:pStyle w:val="TOC3"/>
            <w:tabs>
              <w:tab w:val="clear" w:pos="708"/>
              <w:tab w:val="left" w:pos="1320" w:leader="none"/>
              <w:tab w:val="right" w:pos="8503" w:leader="dot"/>
            </w:tabs>
            <w:rPr/>
          </w:pPr>
          <w:r>
            <w:rPr>
              <w:vanish w:val="false"/>
            </w:rPr>
            <w:t>5.2.3</w:t>
            <w:tab/>
            <w:t>Resultados obtidos</w:t>
            <w:tab/>
            <w:t>10</w:t>
          </w:r>
        </w:p>
        <w:p>
          <w:pPr>
            <w:pStyle w:val="TOC2"/>
            <w:tabs>
              <w:tab w:val="clear" w:pos="708"/>
              <w:tab w:val="left" w:pos="880" w:leader="none"/>
              <w:tab w:val="right" w:pos="8503" w:leader="dot"/>
            </w:tabs>
            <w:rPr/>
          </w:pPr>
          <w:r>
            <w:rPr>
              <w:vanish w:val="false"/>
            </w:rPr>
            <w:t>5.3</w:t>
            <w:tab/>
            <w:t>Apresentação/descrição do protótipo</w:t>
            <w:tab/>
            <w:t>10</w:t>
          </w:r>
          <w:r>
            <w:rPr>
              <w:vanish w:val="false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bookmarkStart w:id="0" w:name="__RefHeading___Toc1899_1995753930"/>
      <w:bookmarkStart w:id="1" w:name="_Toc1864803844"/>
      <w:bookmarkEnd w:id="0"/>
      <w:r>
        <w:rPr/>
        <w:t>Sumário Executivo</w:t>
      </w:r>
      <w:bookmarkEnd w:id="1"/>
    </w:p>
    <w:p>
      <w:pPr>
        <w:pStyle w:val="Normal"/>
        <w:bidi w:val="0"/>
        <w:spacing w:beforeAutospacing="0" w:before="240" w:afterAutospacing="0" w:after="240"/>
        <w:jc w:val="both"/>
        <w:rPr>
          <w:rFonts w:ascii="Calibri" w:hAnsi="Calibri" w:eastAsia="Calibri" w:cs="Calibri"/>
          <w:b w:val="false"/>
          <w:bCs w:val="false"/>
          <w:sz w:val="22"/>
          <w:szCs w:val="22"/>
          <w:lang w:val="pt-BR"/>
        </w:rPr>
      </w:pPr>
      <w:r>
        <w:rPr>
          <w:rFonts w:eastAsia="Calibri" w:cs="Calibri"/>
          <w:b w:val="false"/>
          <w:bCs w:val="false"/>
          <w:sz w:val="22"/>
          <w:szCs w:val="22"/>
          <w:lang w:val="pt-BR"/>
        </w:rPr>
        <w:t xml:space="preserve">O projeto "Market Prices Analysis" </w:t>
      </w:r>
      <w:r>
        <w:rPr>
          <w:rFonts w:eastAsia="Calibri" w:cs="Calibri"/>
          <w:b w:val="false"/>
          <w:bCs w:val="false"/>
          <w:sz w:val="22"/>
          <w:szCs w:val="22"/>
          <w:lang w:val="pt-BR"/>
        </w:rPr>
        <w:t xml:space="preserve">(MPA) </w:t>
      </w:r>
      <w:r>
        <w:rPr>
          <w:rFonts w:eastAsia="Calibri" w:cs="Calibri"/>
          <w:b w:val="false"/>
          <w:bCs w:val="false"/>
          <w:sz w:val="22"/>
          <w:szCs w:val="22"/>
          <w:lang w:val="pt-BR"/>
        </w:rPr>
        <w:t>foi concebido com a finalidade de criar uma ferramenta tecnológica inteligente para combater a assimetria de informações e a desinformação de preços no varejo local. Seu objetivo primordial é oferecer transparência e autonomia ao consumidor, por meio da extração automatizada de dados brutos a partir de vídeos das prateleiras dos mercados e da consolidação dessas informações em um dashboard interativo, que permite a comparação ágil de valores e a tomada de decisões de compra mais conscientes.</w:t>
      </w:r>
    </w:p>
    <w:p>
      <w:pPr>
        <w:pStyle w:val="Normal"/>
        <w:spacing w:beforeAutospacing="0" w:before="240" w:afterAutospacing="0" w:after="240"/>
        <w:jc w:val="both"/>
        <w:rPr>
          <w:rFonts w:ascii="Calibri" w:hAnsi="Calibri" w:eastAsia="Calibri" w:cs="Calibri"/>
          <w:b w:val="false"/>
          <w:bCs w:val="false"/>
          <w:sz w:val="22"/>
          <w:szCs w:val="22"/>
          <w:lang w:val="pt-BR"/>
        </w:rPr>
      </w:pPr>
      <w:r>
        <w:rPr>
          <w:rFonts w:eastAsia="Calibri" w:cs="Calibri"/>
          <w:b w:val="false"/>
          <w:bCs w:val="false"/>
          <w:sz w:val="22"/>
          <w:szCs w:val="22"/>
          <w:lang w:val="pt-BR"/>
        </w:rPr>
        <w:t>O Capítulo 2 (Imersão) detalhou a investigação inicial para mapear as fricções do consumo no varejo físico. A metodologia, que incluiu o reenquadramento do problema sob a ótica da dor do usuário e a pesquisa de campo com gravação em ambiente real, confirmou que a digitação manual e a leitura individual de códigos são as maiores barreiras a serem superadas, validando a captura por vídeo como premissa central. Contudo, a etapa também evidenciou um desafio técnico crítico: os ruídos óticos (reflexos, sombras e borrões) geram dados sujos e repetições, exigindo uma camada robusta de filtragem para que a solução entregue valor real ao consumidor.</w:t>
      </w:r>
    </w:p>
    <w:p>
      <w:pPr>
        <w:pStyle w:val="Normal"/>
        <w:spacing w:beforeAutospacing="0" w:before="240" w:afterAutospacing="0" w:after="240"/>
        <w:jc w:val="both"/>
        <w:rPr>
          <w:rFonts w:ascii="Calibri" w:hAnsi="Calibri" w:eastAsia="Calibri" w:cs="Calibri"/>
          <w:b w:val="false"/>
          <w:bCs w:val="false"/>
          <w:sz w:val="22"/>
          <w:szCs w:val="22"/>
          <w:lang w:val="pt-BR"/>
        </w:rPr>
      </w:pPr>
      <w:r>
        <w:rPr>
          <w:rFonts w:eastAsia="Calibri" w:cs="Calibri"/>
          <w:b w:val="false"/>
          <w:bCs w:val="false"/>
          <w:sz w:val="22"/>
          <w:szCs w:val="22"/>
          <w:lang w:val="pt-BR"/>
        </w:rPr>
        <w:t>No Capítulo 3 (Análise e Síntese), os dados coletados foram convertidos em requisitos técnicos e regras de negócio. O mapeamento do fluxo identificou gargalos no processamento de vídeo, definindo amostragem de frames e pré-tratamento de imagem. A matriz de requisitos consolidou a stack OpenCV, EasyOCR e Python. Por fim, a síntese revelou que erros de leitura ótica inviabilizam regras tradicionais, exigindo IA Generativa para normalização semântica dos dados.</w:t>
      </w:r>
    </w:p>
    <w:p>
      <w:pPr>
        <w:pStyle w:val="Normal"/>
        <w:spacing w:beforeAutospacing="0" w:before="240" w:afterAutospacing="0" w:after="240"/>
        <w:jc w:val="both"/>
        <w:rPr>
          <w:rFonts w:ascii="Calibri" w:hAnsi="Calibri" w:eastAsia="Calibri" w:cs="Calibri"/>
          <w:b w:val="false"/>
          <w:bCs w:val="false"/>
          <w:sz w:val="22"/>
          <w:szCs w:val="22"/>
          <w:lang w:val="pt-BR"/>
        </w:rPr>
      </w:pPr>
      <w:r>
        <w:rPr>
          <w:rFonts w:eastAsia="Calibri" w:cs="Calibri"/>
          <w:b w:val="false"/>
          <w:bCs w:val="false"/>
          <w:sz w:val="22"/>
          <w:szCs w:val="22"/>
          <w:lang w:val="pt-BR"/>
        </w:rPr>
        <w:t>O Capítulo 4 (Ideação) focou em soluções para estruturar os dados ruidosos das prateleiras. A equipe desenvolveu engenharia de prompts para extrair cinco campos específicos em JSON e, por meio de uma Matriz de Decisão, optou pelo Gemini 2.5 Flash-Lite com mecanismo de retry para garantir estabilidade. A síntese consolidou uma arquitetura modular dividida entre extração local e estruturação em nuvem.</w:t>
      </w:r>
    </w:p>
    <w:p>
      <w:pPr>
        <w:pStyle w:val="Normal"/>
        <w:spacing w:beforeAutospacing="0" w:before="240" w:afterAutospacing="0" w:after="240"/>
        <w:jc w:val="both"/>
        <w:rPr>
          <w:rFonts w:ascii="Calibri" w:hAnsi="Calibri" w:eastAsia="Calibri" w:cs="Calibri"/>
          <w:b w:val="false"/>
          <w:bCs w:val="false"/>
          <w:sz w:val="22"/>
          <w:szCs w:val="22"/>
          <w:lang w:val="pt-BR"/>
        </w:rPr>
      </w:pPr>
      <w:r>
        <w:rPr>
          <w:rFonts w:eastAsia="Calibri" w:cs="Calibri"/>
          <w:b w:val="false"/>
          <w:bCs w:val="false"/>
          <w:sz w:val="22"/>
          <w:szCs w:val="22"/>
          <w:lang w:val="pt-BR"/>
        </w:rPr>
        <w:t>O Capítulo 5 (Prototipação) materializou as ideias em um MVP funcional. O backend foi validado com scripts Python que integram OCR e API Gemini para gerar um JSON estruturado. O frontend, desenvolvido em Streamlit, consome esse JSON e exibe um dashboard interativo com KPIs e gráficos. O protótipo final comprova a viabilidade técnica da solução, automatizando a captura e estruturação de preços de prateleiras em tempo real.</w:t>
      </w:r>
    </w:p>
    <w:p>
      <w:pPr>
        <w:pStyle w:val="Heading1"/>
        <w:rPr/>
      </w:pPr>
      <w:bookmarkStart w:id="2" w:name="__RefHeading___Toc1901_1995753930"/>
      <w:bookmarkStart w:id="3" w:name="_Toc979619110"/>
      <w:bookmarkEnd w:id="2"/>
      <w:r>
        <w:rPr/>
        <w:t>Imersão</w:t>
      </w:r>
      <w:bookmarkEnd w:id="3"/>
    </w:p>
    <w:p>
      <w:pPr>
        <w:pStyle w:val="Normal"/>
        <w:jc w:val="both"/>
        <w:rPr>
          <w:rFonts w:ascii="Calibri" w:hAnsi="Calibri" w:eastAsia="Calibri" w:cs="Calibri"/>
        </w:rPr>
      </w:pPr>
      <w:r>
        <w:rPr>
          <w:rFonts w:eastAsia="Calibri" w:cs="Calibri"/>
        </w:rPr>
        <w:t>O objetivo desta etapa foi compreender profundamente a experiência do consumidor no momento da compra e mapear os desafios práticos da recolha de dados físicos nas gôndolas de supermercados, validando se a fricção da pesquisa manual justifica a adoção de uma solução tecnológica automatizada.</w:t>
      </w:r>
    </w:p>
    <w:p>
      <w:pPr>
        <w:pStyle w:val="Heading2"/>
        <w:rPr/>
      </w:pPr>
      <w:bookmarkStart w:id="4" w:name="__RefHeading___Toc1903_1995753930"/>
      <w:bookmarkEnd w:id="4"/>
      <w:r>
        <w:rPr/>
        <w:t>Reenquadramento</w:t>
      </w:r>
    </w:p>
    <w:p>
      <w:pPr>
        <w:pStyle w:val="Heading3"/>
        <w:rPr/>
      </w:pPr>
      <w:bookmarkStart w:id="5" w:name="__RefHeading___Toc1905_1995753930"/>
      <w:bookmarkStart w:id="6" w:name="_Toc1369914040"/>
      <w:bookmarkEnd w:id="5"/>
      <w:r>
        <w:rPr/>
        <w:t>Motivos para o emprego desta técnica</w:t>
      </w:r>
      <w:bookmarkEnd w:id="6"/>
    </w:p>
    <w:p>
      <w:pPr>
        <w:pStyle w:val="Normal"/>
        <w:jc w:val="both"/>
        <w:rPr/>
      </w:pPr>
      <w:r>
        <w:rPr/>
        <w:t>O reenquadramento do problema permitiu economizar esforço ao deslocar o foco da busca passiva por folhetos promocionais para a captura ativa de dados no ponto de venda. Essa técnica possibilitou uma compreensão mais ampla sobre os desafios da comparação de preços no varejo físico, incluindo: a fricção gerada pela digitação manual de códigos, a dificuldade de leitura de etiquetas em condições adversas de iluminação e a dispersão de informações entre diferentes estabelecimentos. Além disso, o reenquadramento ajudou a identificar padrões de comportamento do consumidor, como a desistência da comparação diante da complexidade do processo, e a definir a premissa central de usabilidade do sistema: a captura deve ser feita por varredura contínua de vídeo, transferindo o esforço de coleta do usuário para o algoritmo, o que é relevante para transformar a prateleira física em dados estruturados e comparáveis em tempo real.</w:t>
      </w:r>
    </w:p>
    <w:p>
      <w:pPr>
        <w:pStyle w:val="Heading3"/>
        <w:rPr/>
      </w:pPr>
      <w:bookmarkStart w:id="7" w:name="__RefHeading___Toc1907_1995753930"/>
      <w:bookmarkStart w:id="8" w:name="_Toc125759751"/>
      <w:bookmarkEnd w:id="7"/>
      <w:r>
        <w:rPr/>
        <w:t>Como a técnica foi empregada</w:t>
      </w:r>
      <w:bookmarkEnd w:id="8"/>
    </w:p>
    <w:p>
      <w:pPr>
        <w:pStyle w:val="Normal"/>
        <w:jc w:val="both"/>
        <w:rPr>
          <w:rFonts w:ascii="Calibri" w:hAnsi="Calibri" w:eastAsia="Calibri" w:cs="Calibri"/>
        </w:rPr>
      </w:pPr>
      <w:r>
        <w:rPr>
          <w:rFonts w:eastAsia="Calibri" w:cs="Calibri"/>
        </w:rPr>
        <w:t>Foram formuladas perguntas sob a perspectiva da dor do usuário, com base em observações diretas e entrevistas informais com consumidores no ambiente de varejo, incluindo: motivos para desistência da comparação de preços, percepção sobre a dificuldade de leitura de etiquetas e o tempo despendido na coleta manual de informações. A partir disso, foram extraídos insights relevantes que abordam diretamente a fricção gerada pela digitação manual de preços e pela leitura individual de códigos de barras, confirmando que esses métodos manuais aumentam significativamente o esforço do consumidor e reduzem a propensão à comparação, fornecendo uma base para a definição da captura por vídeo como premissa central de usabilidade do sistema.</w:t>
      </w:r>
    </w:p>
    <w:p>
      <w:pPr>
        <w:pStyle w:val="Heading3"/>
        <w:jc w:val="both"/>
        <w:rPr/>
      </w:pPr>
      <w:bookmarkStart w:id="9" w:name="__RefHeading___Toc1909_1995753930"/>
      <w:bookmarkStart w:id="10" w:name="_Toc1234746590"/>
      <w:bookmarkEnd w:id="9"/>
      <w:r>
        <w:rPr/>
        <w:t>Resultados obtidos</w:t>
      </w:r>
      <w:bookmarkEnd w:id="10"/>
    </w:p>
    <w:p>
      <w:pPr>
        <w:pStyle w:val="Normal"/>
        <w:jc w:val="both"/>
        <w:rPr>
          <w:rFonts w:ascii="Calibri" w:hAnsi="Calibri" w:eastAsia="Calibri" w:cs="Calibri"/>
        </w:rPr>
      </w:pPr>
      <w:r>
        <w:rPr>
          <w:rFonts w:eastAsia="Calibri" w:cs="Calibri"/>
        </w:rPr>
        <w:t>A análise revelou que muitos consumidores desistem de comparar preços devido à fricção da digitação manual e da leitura individual de códigos, processos demorados e trabalhosos. Essa lacuna destaca a importância de um sistema que ofereça captura automatizada por varredura contínua de vídeo, transferindo todo o esforço do usuário para o algoritmo e eliminando a necessidade de digitação, proporcionando uma experiência fluida e dados comparáveis em tempo real.</w:t>
      </w:r>
    </w:p>
    <w:p>
      <w:pPr>
        <w:pStyle w:val="Heading2"/>
        <w:rPr/>
      </w:pPr>
      <w:bookmarkStart w:id="11" w:name="__RefHeading___Toc1911_1995753930"/>
      <w:bookmarkEnd w:id="11"/>
      <w:r>
        <w:rPr/>
        <w:t>Pesquisa de Campo e Observação Direta</w:t>
      </w:r>
    </w:p>
    <w:p>
      <w:pPr>
        <w:pStyle w:val="Heading3"/>
        <w:rPr/>
      </w:pPr>
      <w:bookmarkStart w:id="12" w:name="__RefHeading___Toc1913_1995753930"/>
      <w:bookmarkStart w:id="13" w:name="_Toc1786148874"/>
      <w:bookmarkEnd w:id="12"/>
      <w:r>
        <w:rPr/>
        <w:t>Motivos para o emprego desta técnica</w:t>
      </w:r>
      <w:bookmarkEnd w:id="13"/>
    </w:p>
    <w:p>
      <w:pPr>
        <w:pStyle w:val="Normal"/>
        <w:jc w:val="both"/>
        <w:rPr>
          <w:rFonts w:ascii="Calibri" w:hAnsi="Calibri" w:eastAsia="Calibri" w:cs="Calibri"/>
        </w:rPr>
      </w:pPr>
      <w:r>
        <w:rPr>
          <w:rFonts w:eastAsia="Calibri" w:cs="Calibri"/>
        </w:rPr>
        <w:t>As técnicas foram utilizadas para validar a hipótese de que a captura por vídeo seria a forma mais eficiente de coletar dados de preços, bem como para identificar antecipadamente os obstáculos práticos que a solução enfrentaria no ambiente real. Essa técnica permitiu economizar tempo e recursos ao testar a premissa central do sistema antes do desenvolvimento completo, incluindo: a viabilidade da gravação contínua em condições típicas de supermercado, a identificação de ruídos visuais recorrentes (reflexos, sombras e variações de fonte) e a avaliação da qualidade mínima de vídeo necessária para a leitura ótica. Além disso, a observação direta possibilitou um contexto mais amplo sobre os desafios da extração automatizada de preços no varejo físico, ajudando a mapear padrões de interferência visual que são relevantes para definir os requisitos de pré-tratamento de imagem e filtragem dos dados, assegurando que a solução seja robusta desde sua concepção.</w:t>
      </w:r>
    </w:p>
    <w:p>
      <w:pPr>
        <w:pStyle w:val="Heading3"/>
        <w:rPr/>
      </w:pPr>
      <w:bookmarkStart w:id="14" w:name="__RefHeading___Toc1915_1995753930"/>
      <w:bookmarkStart w:id="15" w:name="_Toc1386689638"/>
      <w:bookmarkEnd w:id="14"/>
      <w:r>
        <w:rPr/>
        <w:t>Como a técnica foi empregada</w:t>
      </w:r>
      <w:bookmarkEnd w:id="15"/>
    </w:p>
    <w:p>
      <w:pPr>
        <w:pStyle w:val="Normal"/>
        <w:jc w:val="both"/>
        <w:rPr>
          <w:rFonts w:ascii="Calibri" w:hAnsi="Calibri" w:eastAsia="Calibri" w:cs="Calibri"/>
        </w:rPr>
      </w:pPr>
      <w:r>
        <w:rPr>
          <w:rFonts w:eastAsia="Calibri" w:cs="Calibri"/>
        </w:rPr>
        <w:t>A técnica foi empregada através de uma gravação de teste em ambiente real, filmando a seção de Refrigerantes no Mercado São Paulo por aproximadamente 41 segundos, simulando a perspectiva de um consumidor caminhando pelo corredor. O foco principal foi capturar as condições reais de iluminação, sombras e variações de tamanho das etiquetas. Com base nessa gravação, foi possível identificar padrões de ruído visual e áreas críticas onde a leitura ótica seria comprometida, como reflexos e borrões em letras pequenas, validando a necessidade de pré-tratamento de imagem e de uma camada robusta de filtragem dos dados extraídos.</w:t>
      </w:r>
    </w:p>
    <w:p>
      <w:pPr>
        <w:pStyle w:val="Heading3"/>
        <w:rPr/>
      </w:pPr>
      <w:bookmarkStart w:id="16" w:name="__RefHeading___Toc1917_1995753930"/>
      <w:bookmarkStart w:id="17" w:name="_Toc524335529"/>
      <w:bookmarkEnd w:id="16"/>
      <w:r>
        <w:rPr/>
        <w:t>Resultados obtidos</w:t>
      </w:r>
      <w:bookmarkEnd w:id="17"/>
    </w:p>
    <w:p>
      <w:pPr>
        <w:pStyle w:val="Normal"/>
        <w:jc w:val="both"/>
        <w:rPr>
          <w:rFonts w:ascii="Calibri" w:hAnsi="Calibri" w:eastAsia="Calibri" w:cs="Calibri"/>
        </w:rPr>
      </w:pPr>
      <w:r>
        <w:rPr>
          <w:rFonts w:eastAsia="Calibri" w:cs="Calibri"/>
        </w:rPr>
        <w:t>A observação mostrou que as condições reais das prateleiras geram ruídos significativos, como reflexos de iluminação, sombras nas gôndolas inferiores e variações no tamanho das fontes das etiquetas. Constatou-se que resoluções mais baixas de vídeo produzem borrões nas letras pequenas das marcas, evidenciando a necessidade crítica de pré-tratamento de imagem e de uma camada robusta de filtragem para viabilizar a leitura ótica automatizada.</w:t>
      </w:r>
    </w:p>
    <w:p>
      <w:pPr>
        <w:pStyle w:val="Heading2"/>
        <w:rPr/>
      </w:pPr>
      <w:bookmarkStart w:id="18" w:name="__RefHeading___Toc1919_1995753930"/>
      <w:bookmarkStart w:id="19" w:name="_Toc265732836"/>
      <w:bookmarkEnd w:id="18"/>
      <w:r>
        <w:rPr/>
        <w:t>Resultados da etapa de imersão</w:t>
      </w:r>
      <w:bookmarkEnd w:id="19"/>
    </w:p>
    <w:p>
      <w:pPr>
        <w:pStyle w:val="Normal"/>
        <w:spacing w:before="240" w:after="240"/>
        <w:jc w:val="both"/>
        <w:rPr>
          <w:rFonts w:ascii="Calibri" w:hAnsi="Calibri" w:eastAsia="Calibri" w:cs="Calibri"/>
        </w:rPr>
      </w:pPr>
      <w:r>
        <w:rPr>
          <w:rFonts w:eastAsia="Calibri" w:cs="Calibri"/>
        </w:rPr>
        <w:t>A etapa de imersão permitiu coletar informações valiosas sobre as necessidades dos consumidores e os gargalos práticos da comparação de preços no varejo físico. O reenquadramento do problema forneceu a perspectiva sobre a fricção gerada pelos métodos manuais de captura e a desistência do consumidor diante da complexidade do processo, enquanto a pesquisa de campo confirmou as condições adversas das prateleiras reais, com ruídos visuais como reflexos, sombras e variações de fonte que comprometem a leitura ótica automatizada.</w:t>
      </w:r>
    </w:p>
    <w:p>
      <w:pPr>
        <w:pStyle w:val="Normal"/>
        <w:spacing w:before="240" w:after="240"/>
        <w:jc w:val="both"/>
        <w:rPr>
          <w:rFonts w:ascii="Calibri" w:hAnsi="Calibri" w:eastAsia="Calibri" w:cs="Calibri"/>
        </w:rPr>
      </w:pPr>
      <w:r>
        <w:rPr>
          <w:rFonts w:eastAsia="Calibri" w:cs="Calibri"/>
        </w:rPr>
        <w:t>Com base nesses resultados, o problema é enquadrado em: eliminar a fricção da coleta manual de preços e transformar a prateleira física em dados estruturados em tempo real. O desenvolvimento do sistema deve priorizar funcionalidades como a captura automatizada por varredura contínua de vídeo, o pré-tratamento de imagem para mitigar ruídos óticos e uma camada robusta de filtragem dos dados extraídos, transformando um processo complexo e trabalhoso em uma experiência fluida e acessível para o consumidor. Os padrões identificados revelam uma alta demanda por soluções práticas que se integrem ao momento da compra e ofereçam informações comparáveis de forma imediata.</w:t>
      </w:r>
    </w:p>
    <w:p>
      <w:pPr>
        <w:pStyle w:val="Heading1"/>
        <w:rPr/>
      </w:pPr>
      <w:bookmarkStart w:id="20" w:name="__RefHeading___Toc1921_1995753930"/>
      <w:bookmarkStart w:id="21" w:name="_Toc1177411659"/>
      <w:bookmarkEnd w:id="20"/>
      <w:r>
        <w:rPr/>
        <w:t>Análise e síntese</w:t>
      </w:r>
      <w:bookmarkEnd w:id="21"/>
    </w:p>
    <w:p>
      <w:pPr>
        <w:pStyle w:val="Normal"/>
        <w:jc w:val="both"/>
        <w:rPr>
          <w:rFonts w:ascii="Calibri" w:hAnsi="Calibri" w:eastAsia="Calibri" w:cs="Calibri"/>
        </w:rPr>
      </w:pPr>
      <w:r>
        <w:rPr>
          <w:rFonts w:eastAsia="Calibri" w:cs="Calibri"/>
        </w:rPr>
        <w:t>O objetivo desta etapa foi agrupar as informações recolhidas no ambiente real, decompor as falhas observadas na captura de preços e definir os requisitos técnicos e as regras de negócio necessárias para a construção do sistema.</w:t>
      </w:r>
    </w:p>
    <w:p>
      <w:pPr>
        <w:pStyle w:val="Heading2"/>
        <w:rPr/>
      </w:pPr>
      <w:bookmarkStart w:id="22" w:name="__RefHeading___Toc1923_1995753930"/>
      <w:bookmarkEnd w:id="22"/>
      <w:r>
        <w:rPr/>
        <w:t>Mapeamento de Fluxo de Dados (Data Flow Mapping)</w:t>
      </w:r>
    </w:p>
    <w:p>
      <w:pPr>
        <w:pStyle w:val="Heading3"/>
        <w:rPr/>
      </w:pPr>
      <w:bookmarkStart w:id="23" w:name="__RefHeading___Toc1925_1995753930"/>
      <w:bookmarkStart w:id="24" w:name="_Toc1369914040_Copia_1"/>
      <w:bookmarkEnd w:id="23"/>
      <w:r>
        <w:rPr/>
        <w:t>Motivos para o emprego desta técnica</w:t>
      </w:r>
      <w:bookmarkEnd w:id="24"/>
    </w:p>
    <w:p>
      <w:pPr>
        <w:pStyle w:val="Normal"/>
        <w:jc w:val="both"/>
        <w:rPr>
          <w:rFonts w:ascii="Calibri" w:hAnsi="Calibri" w:eastAsia="Calibri" w:cs="Calibri"/>
        </w:rPr>
      </w:pPr>
      <w:r>
        <w:rPr>
          <w:rFonts w:eastAsia="Calibri" w:cs="Calibri"/>
        </w:rPr>
        <w:t>Motivos para o emprego desta técnica: A técnica foi utilizada para mapear o fluxo completo de processamento dos dados, desde a aquisição da imagem na prateleira até a exibição das informações estruturadas na interface do usuário, com o objetivo de identificar gargalos computacionais e pontos de latência crítica nas etapas de decodificação de vídeo, extração de features visuais e reconhecimento ótico de caracteres. Esse mapeamento permitiu avaliar a eficiência dos algoritmos de pré-processamento e estabelecer parâmetros operacionais ideais, como a taxa de amostragem de frames, o redimensionamento das imagens e a necessidade de técnicas de realce de contraste, assegurando que o pipeline de visão computacional atendesse aos requisitos de desempenho e escalabilidade da solução.</w:t>
      </w:r>
    </w:p>
    <w:p>
      <w:pPr>
        <w:pStyle w:val="Heading3"/>
        <w:rPr/>
      </w:pPr>
      <w:bookmarkStart w:id="25" w:name="__RefHeading___Toc1927_1995753930"/>
      <w:bookmarkStart w:id="26" w:name="_Toc1928265388"/>
      <w:bookmarkEnd w:id="25"/>
      <w:r>
        <w:rPr/>
        <w:t>Como a técnica foi empregada</w:t>
      </w:r>
      <w:bookmarkEnd w:id="26"/>
    </w:p>
    <w:p>
      <w:pPr>
        <w:pStyle w:val="Normal"/>
        <w:jc w:val="both"/>
        <w:rPr>
          <w:rFonts w:ascii="Calibri" w:hAnsi="Calibri" w:eastAsia="Calibri"/>
        </w:rPr>
      </w:pPr>
      <w:r>
        <w:rPr>
          <w:rFonts w:eastAsia="Calibri"/>
        </w:rPr>
        <w:t>Foi modelado o pipeline de processamento do vídeo capturado, definindo-se a arquitetura de extração frame a frame. Especificou-se a implementação de um script responsável por segmentar o fluxo contínuo de vídeo em quadros individuais, com taxa de amostragem controlada (frames por segundo - FPS), e pela subsequente aplicação de técnicas de Optical Character Recognition (OCR) sobre cada quadro para tentativa de leitura dos textos contidos nas etiquetas das prateleiras.</w:t>
      </w:r>
    </w:p>
    <w:p>
      <w:pPr>
        <w:pStyle w:val="Heading3"/>
        <w:rPr/>
      </w:pPr>
      <w:bookmarkStart w:id="27" w:name="__RefHeading___Toc1929_1995753930"/>
      <w:bookmarkStart w:id="28" w:name="_Toc1379712024"/>
      <w:bookmarkEnd w:id="27"/>
      <w:r>
        <w:rPr/>
        <w:t>Resultados obtidos</w:t>
      </w:r>
      <w:bookmarkEnd w:id="28"/>
    </w:p>
    <w:p>
      <w:pPr>
        <w:pStyle w:val="Normal"/>
        <w:spacing w:before="240" w:after="240"/>
        <w:rPr/>
      </w:pPr>
      <w:r>
        <w:rPr>
          <w:rFonts w:eastAsia="" w:cs="Calibri" w:eastAsiaTheme="minorEastAsia"/>
          <w:color w:themeColor="text1" w:val="000000"/>
        </w:rPr>
        <w:t>Constatou-se que o processamento de todos os frames de um vídeo implica em custo computacional elevado, com potencial para saturação da CPU e degradação do desempenho do sistema em tempo real. Diante disso, estabeleceu-se uma taxa de amostragem temporal entre 0,2 e 0,5 segundos por frame, otimizando a relação entre cobertura de dados e carga de processamento. Adicionalmente, identificou-se a necessidade de aplicar técnicas de pré-processamento de imagem, com destaque para a Equalização de Histograma por Contraste Adaptativo com Limitação (CLAHE) sobre as imagens convertidas para escala de cinza, visando melhorar a distribuição de intensidades e realçar os caracteres antes da etapa de OCR.</w:t>
      </w:r>
    </w:p>
    <w:p>
      <w:pPr>
        <w:pStyle w:val="Heading2"/>
        <w:rPr/>
      </w:pPr>
      <w:bookmarkStart w:id="29" w:name="__RefHeading___Toc1931_1995753930"/>
      <w:bookmarkEnd w:id="29"/>
      <w:r>
        <w:rPr/>
        <w:t>Matriz de Requisitos Técnicos</w:t>
      </w:r>
    </w:p>
    <w:p>
      <w:pPr>
        <w:pStyle w:val="Heading3"/>
        <w:widowControl/>
        <w:bidi w:val="0"/>
        <w:spacing w:lineRule="auto" w:line="259"/>
        <w:jc w:val="start"/>
        <w:rPr/>
      </w:pPr>
      <w:bookmarkStart w:id="30" w:name="__RefHeading___Toc1933_1995753930"/>
      <w:bookmarkStart w:id="31" w:name="_Toc1369914040_Copia_1_Copia_1"/>
      <w:bookmarkEnd w:id="30"/>
      <w:r>
        <w:rPr/>
        <w:t>Motivos para o emprego desta técnica</w:t>
      </w:r>
      <w:bookmarkEnd w:id="31"/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/>
        </w:rPr>
        <w:t>Traduzir os problemas detectados na etapa anterior em requisitos técnicos concretos, orientando a seleção de bibliotecas, frameworks e ferramentas de desenvolvimento compatíveis com as restrições de ambiente e com as demandas de performance identificadas .</w:t>
      </w:r>
    </w:p>
    <w:p>
      <w:pPr>
        <w:pStyle w:val="Heading3"/>
        <w:rPr/>
      </w:pPr>
      <w:bookmarkStart w:id="32" w:name="__RefHeading___Toc1935_1995753930"/>
      <w:bookmarkStart w:id="33" w:name="_Toc1940763745"/>
      <w:bookmarkEnd w:id="32"/>
      <w:r>
        <w:rPr/>
        <w:t>Como a técnica foi empregada</w:t>
      </w:r>
      <w:bookmarkEnd w:id="33"/>
    </w:p>
    <w:p>
      <w:pPr>
        <w:pStyle w:val="Normal"/>
        <w:jc w:val="both"/>
        <w:rPr>
          <w:rFonts w:ascii="Calibri" w:hAnsi="Calibri" w:eastAsia="Calibri"/>
        </w:rPr>
      </w:pPr>
      <w:r>
        <w:rPr>
          <w:rFonts w:eastAsia="Calibri" w:cs="Calibri"/>
        </w:rPr>
        <w:t>Como a técnica foi empregada: Listamos as necessidades do sistema, dividindo-as entre extração de texto local (offline) e estruturação inteligente via nuvem (online), e comparamos essas demandas com as ferramentas disponíveis no mercado, avaliando critérios como compatibilidade, custo e desempenho para definir a melhor combinação tecnológica.</w:t>
      </w:r>
    </w:p>
    <w:p>
      <w:pPr>
        <w:pStyle w:val="Heading3"/>
        <w:rPr/>
      </w:pPr>
      <w:bookmarkStart w:id="34" w:name="__RefHeading___Toc1937_1995753930"/>
      <w:bookmarkStart w:id="35" w:name="_Toc13622751"/>
      <w:bookmarkEnd w:id="34"/>
      <w:r>
        <w:rPr/>
        <w:t>Resultados obtidos</w:t>
      </w:r>
      <w:bookmarkEnd w:id="35"/>
    </w:p>
    <w:p>
      <w:pPr>
        <w:pStyle w:val="Normal"/>
        <w:numPr>
          <w:ilvl w:val="0"/>
          <w:numId w:val="0"/>
        </w:numPr>
        <w:spacing w:before="240" w:after="240"/>
        <w:ind w:hanging="0" w:start="0"/>
        <w:rPr/>
      </w:pPr>
      <w:r>
        <w:rPr>
          <w:rFonts w:eastAsia="" w:cs="Calibri" w:eastAsiaTheme="minorEastAsia"/>
          <w:color w:themeColor="text1" w:val="000000"/>
        </w:rPr>
        <w:t>Resultados obtidos: Definição da stack tecnológica base, composta por OpenCV para pré-processamento e aprimoramento de imagens (redimensionamento, conversão para escala de cinzentos e aplicação de técnicas de equalização de contraste), EasyOCR como motor de OCR executado localmente para evitar dependências de serviços externos e contornar restrições de compatibilidade entre versões de bibliotecas, e Python como linguagem principal para orquestração dos módulos, integração entre as camadas de processamento e automação do fluxo de extração e estruturação dos dados.</w:t>
      </w:r>
    </w:p>
    <w:p>
      <w:pPr>
        <w:pStyle w:val="Heading2"/>
        <w:rPr/>
      </w:pPr>
      <w:bookmarkStart w:id="36" w:name="__RefHeading___Toc1939_1995753930"/>
      <w:bookmarkStart w:id="37" w:name="_Toc734197273"/>
      <w:bookmarkEnd w:id="36"/>
      <w:r>
        <w:rPr/>
        <w:t>Resultados da etapa de análise e síntese</w:t>
      </w:r>
      <w:bookmarkEnd w:id="37"/>
    </w:p>
    <w:p>
      <w:pPr>
        <w:pStyle w:val="Normal"/>
        <w:spacing w:before="240" w:after="240"/>
        <w:jc w:val="both"/>
        <w:rPr>
          <w:rFonts w:ascii="Calibri" w:hAnsi="Calibri" w:eastAsia="Calibri" w:cs="Calibri"/>
        </w:rPr>
      </w:pPr>
      <w:r>
        <w:rPr>
          <w:rFonts w:eastAsia="Calibri" w:cs="Calibri"/>
        </w:rPr>
        <w:t>Concluiu-se que a arquitetura do sistema não poderia se basear exclusivamente em heurísticas determinísticas (expressões regulares ou estruturas condicionais aninhadas) para a limpeza e padronização dos dados extraídos, dada a natureza estocástica e não sistemática dos erros gerados pelo motor de OCR – tais como substituições fonéticas ("Spril" por "Sprite"), truncamentos lexicais e variações ortográficas imprevisíveis. A síntese apontou, portanto, para a necessidade imperativa de incorporar um modelo de Inteligência Artificial Generativa (LLM) como camada de normalização semântica, capaz de interpretar o contexto, corrigir distorções textuais e mapear as entidades reconhecidas para um catálogo padronizado, garantindo consistência e confiabilidade aos dados estruturados.</w:t>
      </w:r>
    </w:p>
    <w:p>
      <w:pPr>
        <w:pStyle w:val="Heading1"/>
        <w:rPr/>
      </w:pPr>
      <w:bookmarkStart w:id="38" w:name="__RefHeading___Toc1941_1995753930"/>
      <w:bookmarkStart w:id="39" w:name="_Toc225941104"/>
      <w:bookmarkEnd w:id="38"/>
      <w:r>
        <w:rPr/>
        <w:t>Ideação</w:t>
      </w:r>
      <w:bookmarkEnd w:id="39"/>
    </w:p>
    <w:p>
      <w:pPr>
        <w:pStyle w:val="Normal"/>
        <w:bidi w:val="0"/>
        <w:jc w:val="both"/>
        <w:rPr/>
      </w:pPr>
      <w:r>
        <w:rPr>
          <w:rFonts w:eastAsia="Calibri" w:cs="Calibri"/>
        </w:rPr>
        <w:t>Nesta fase, serão exploradas diversas propostas destinadas a aprimorar a experiência do consumidor, simplificar a jornada de captura de preços e estruturar os dados extraídos de forma confiável, oferecendo informações precisas e comparáveis em tempo real, sem comprometer o orçamento ou o desempenho do sistema.</w:t>
      </w:r>
    </w:p>
    <w:p>
      <w:pPr>
        <w:pStyle w:val="Heading2"/>
        <w:rPr/>
      </w:pPr>
      <w:bookmarkStart w:id="40" w:name="__RefHeading___Toc1943_1995753930"/>
      <w:bookmarkStart w:id="41" w:name="_Toc1627706125"/>
      <w:bookmarkEnd w:id="40"/>
      <w:bookmarkEnd w:id="41"/>
      <w:r>
        <w:rPr/>
        <w:t>Brainstorming de Arquitetura de IA (Engenharia de Prompts)</w:t>
      </w:r>
    </w:p>
    <w:p>
      <w:pPr>
        <w:pStyle w:val="Heading3"/>
        <w:rPr/>
      </w:pPr>
      <w:bookmarkStart w:id="42" w:name="__RefHeading___Toc1945_1995753930"/>
      <w:bookmarkEnd w:id="42"/>
      <w:r>
        <w:rPr/>
        <w:t>Motivos para o emprego desta técnica</w:t>
      </w:r>
    </w:p>
    <w:p>
      <w:pPr>
        <w:pStyle w:val="Normal"/>
        <w:spacing w:before="240" w:after="240"/>
        <w:rPr/>
      </w:pPr>
      <w:r>
        <w:rPr>
          <w:rFonts w:eastAsia="Calibri" w:cs="Calibri"/>
        </w:rPr>
        <w:t>Definir a configuração de prompt (system instruction) capaz de restringir o comportamento do modelo de linguagem a uma função estrita de parser semântico, suprimindo respostas generativas ou criativas e assegurando a saída estritamente aderente a um esquema estruturado predefinido.</w:t>
      </w:r>
    </w:p>
    <w:p>
      <w:pPr>
        <w:pStyle w:val="Heading3"/>
        <w:rPr/>
      </w:pPr>
      <w:bookmarkStart w:id="43" w:name="__RefHeading___Toc1947_1995753930"/>
      <w:bookmarkStart w:id="44" w:name="_Toc270330641"/>
      <w:bookmarkEnd w:id="43"/>
      <w:r>
        <w:rPr/>
        <w:t>Como a técnica foi empregada</w:t>
      </w:r>
      <w:bookmarkEnd w:id="44"/>
    </w:p>
    <w:p>
      <w:pPr>
        <w:pStyle w:val="Normal"/>
        <w:jc w:val="both"/>
        <w:rPr/>
      </w:pPr>
      <w:r>
        <w:rPr>
          <w:rFonts w:eastAsia="Calibri" w:cs="Calibri"/>
        </w:rPr>
        <w:t>Foram realizadas múltiplas iterações de engenharia de prompts, refinando sistematicamente as system instructions do modelo de linguagem. Testaram-se diferentes diretivas para restringir o escopo da extração, incluindo: a supressão de códigos de barras internos e identificadores não comerciais; o agrupamento e deduplicação de ocorrências do mesmo produto ao longo dos frames; e a validação rigorosa da saída, restringindo-a estritamente a um esquema JSON com campos pré-definidos e tipagem fixa.</w:t>
      </w:r>
    </w:p>
    <w:p>
      <w:pPr>
        <w:pStyle w:val="Heading3"/>
        <w:rPr/>
      </w:pPr>
      <w:bookmarkStart w:id="45" w:name="__RefHeading___Toc1949_1995753930"/>
      <w:bookmarkStart w:id="46" w:name="_Toc1657052028"/>
      <w:bookmarkEnd w:id="45"/>
      <w:r>
        <w:rPr/>
        <w:t>Resultados obtidos</w:t>
      </w:r>
      <w:bookmarkEnd w:id="46"/>
    </w:p>
    <w:p>
      <w:pPr>
        <w:pStyle w:val="Normal"/>
        <w:spacing w:before="240" w:after="240"/>
        <w:jc w:val="both"/>
        <w:rPr>
          <w:rFonts w:ascii="Calibri" w:hAnsi="Calibri" w:eastAsia="Calibri" w:cs="Calibri"/>
        </w:rPr>
      </w:pPr>
      <w:r>
        <w:rPr>
          <w:rFonts w:eastAsia="Calibri" w:cs="Calibri"/>
        </w:rPr>
        <w:t>O desenvolvimento de um prompt com engenharia de instrução estruturada, capaz de forçar o modelo de linguagem a atuar como um extrator semântico restrito, retornando estritamente um objeto JSON com cinco campos obrigatórios e normalizados: Produto, Marca, Volume, Preço e Status de Promoção.</w:t>
      </w:r>
    </w:p>
    <w:p>
      <w:pPr>
        <w:pStyle w:val="Heading2"/>
        <w:rPr/>
      </w:pPr>
      <w:bookmarkStart w:id="47" w:name="__RefHeading___Toc1951_1995753930"/>
      <w:bookmarkEnd w:id="47"/>
      <w:r>
        <w:rPr/>
        <w:t>Matriz de Decisão de Ferramentas (Esforço x Impacto)</w:t>
      </w:r>
    </w:p>
    <w:p>
      <w:pPr>
        <w:pStyle w:val="Heading3"/>
        <w:rPr/>
      </w:pPr>
      <w:bookmarkStart w:id="48" w:name="__RefHeading___Toc1953_1995753930"/>
      <w:bookmarkEnd w:id="48"/>
      <w:r>
        <w:rPr/>
        <w:t>Motivos para o emprego desta técnica</w:t>
      </w:r>
    </w:p>
    <w:p>
      <w:pPr>
        <w:pStyle w:val="Normal"/>
        <w:jc w:val="both"/>
        <w:rPr>
          <w:rFonts w:ascii="Calibri" w:hAnsi="Calibri" w:eastAsia="Calibri" w:cs="Calibri"/>
        </w:rPr>
      </w:pPr>
      <w:r>
        <w:rPr>
          <w:rFonts w:eastAsia="Calibri" w:cs="Calibri"/>
        </w:rPr>
        <w:t>Durante a idealização da IA, verificaram-se falhas no tráfego dos servidores, causando instabilidade na solução, o que tornou necessária a escolha de um modelo mais confiável.</w:t>
      </w:r>
    </w:p>
    <w:p>
      <w:pPr>
        <w:pStyle w:val="Heading3"/>
        <w:rPr/>
      </w:pPr>
      <w:bookmarkStart w:id="49" w:name="__RefHeading___Toc1955_1995753930"/>
      <w:bookmarkStart w:id="50" w:name="_Toc805259313"/>
      <w:bookmarkEnd w:id="49"/>
      <w:r>
        <w:rPr/>
        <w:t>Como a técnica foi empregada</w:t>
      </w:r>
      <w:bookmarkEnd w:id="50"/>
    </w:p>
    <w:p>
      <w:pPr>
        <w:pStyle w:val="Normal"/>
        <w:jc w:val="both"/>
        <w:rPr>
          <w:rFonts w:ascii="Calibri" w:hAnsi="Calibri" w:eastAsia="Calibri" w:cs="Calibri"/>
        </w:rPr>
      </w:pPr>
      <w:r>
        <w:rPr>
          <w:rFonts w:eastAsia="Calibri" w:cs="Calibri"/>
        </w:rPr>
        <w:t>Realizou-se uma análise comparativa de desempenho entre o modelo Gemini 3.5 Flash – que apresentava falhas recorrentes com código de status HTTP 503 em virtude da alta demanda e saturação do endpoint – e versões anteriores do mesmo provedor, as quais demonstraram maior estabilidade operacional e menor taxa de timeout, permitindo avaliar a relação entre confiabilidade da API e latência de resposta para a camada de estruturação semântica.</w:t>
      </w:r>
    </w:p>
    <w:p>
      <w:pPr>
        <w:pStyle w:val="Heading3"/>
        <w:rPr/>
      </w:pPr>
      <w:bookmarkStart w:id="51" w:name="__RefHeading___Toc1957_1995753930"/>
      <w:bookmarkStart w:id="52" w:name="_Toc569286952"/>
      <w:bookmarkEnd w:id="51"/>
      <w:r>
        <w:rPr/>
        <w:t>Resultados obtidos</w:t>
      </w:r>
      <w:bookmarkEnd w:id="52"/>
    </w:p>
    <w:p>
      <w:pPr>
        <w:pStyle w:val="Normal"/>
        <w:jc w:val="both"/>
        <w:rPr>
          <w:rFonts w:ascii="Calibri" w:hAnsi="Calibri" w:eastAsia="Calibri" w:cs="Calibri"/>
        </w:rPr>
      </w:pPr>
      <w:r>
        <w:rPr>
          <w:rFonts w:eastAsia="Calibri" w:cs="Calibri"/>
        </w:rPr>
        <w:t>Optou-se pelo pivot para o modelo Gemini 2.5 Flash-Lite, cuja arquitetura é otimizada para tarefas de extração estruturada de baixa complexidade semântica, oferecendo latência submilissegundo por requisição e menor consumo de tokens, conforme especificação do fornecedor. Adicionalmente, implementou-se uma estratégia de retry com backoff exponencial (recuo progressivo dos intervalos entre tentativas) associada a mecanismos de tratamento de falhas transitórias, de modo a assegurar a resiliência da camada de comunicação com a API e a estabilidade do MVP diante de instabilidades de rede ou sobrecarga do serviço.</w:t>
      </w:r>
    </w:p>
    <w:p>
      <w:pPr>
        <w:pStyle w:val="Heading2"/>
        <w:ind w:hanging="0" w:start="0"/>
        <w:rPr/>
      </w:pPr>
      <w:bookmarkStart w:id="53" w:name="__RefHeading___Toc1959_1995753930"/>
      <w:bookmarkEnd w:id="53"/>
      <w:r>
        <w:rPr>
          <w:rFonts w:eastAsia="Calibri" w:cs="Calibri" w:ascii="Calibri" w:hAnsi="Calibri"/>
        </w:rPr>
        <w:t>Resultados da etapa de Ideação</w:t>
      </w:r>
    </w:p>
    <w:p>
      <w:pPr>
        <w:pStyle w:val="Normal"/>
        <w:spacing w:before="240" w:after="240"/>
        <w:jc w:val="both"/>
        <w:rPr>
          <w:rFonts w:ascii="Calibri" w:hAnsi="Calibri" w:eastAsia="Calibri" w:cs="Calibri"/>
        </w:rPr>
      </w:pPr>
      <w:r>
        <w:rPr>
          <w:rFonts w:eastAsia="Calibri" w:cs="Calibri"/>
        </w:rPr>
        <w:t>A arquitetura final da solução foi concebida em dois módulos independentes e comunicantes: o Módulo Extrator, responsável pelo processamento local das imagens capturadas, executando operações de pré-processamento (redimensionamento, conversão para escala de cinzentos e aplicação de técnicas de realce de contraste) e inferência do motor de OCR para extração dos textos brutos, funcionando em ambiente offline para reduzir latência e consumo de banda; e o Módulo Estruturador, que atua como camada de normalização semântica, estabelecendo comunicação com o LLM via requisições HTTP síncronas, enriquecendo o payload com metadados contextuais – como identificador do estabelecimento e localização geográfica – e consolidando o resultado final em um arquivo JSON estruturado, pronto para ser consumido pela camada de visualização.</w:t>
      </w:r>
    </w:p>
    <w:p>
      <w:pPr>
        <w:pStyle w:val="Heading1"/>
        <w:rPr/>
      </w:pPr>
      <w:bookmarkStart w:id="54" w:name="__RefHeading___Toc1961_1995753930"/>
      <w:bookmarkStart w:id="55" w:name="_Toc513872335"/>
      <w:bookmarkEnd w:id="54"/>
      <w:r>
        <w:rPr/>
        <w:t>Prototipação</w:t>
      </w:r>
      <w:bookmarkEnd w:id="55"/>
    </w:p>
    <w:p>
      <w:pPr>
        <w:pStyle w:val="Normal"/>
        <w:jc w:val="both"/>
        <w:rPr>
          <w:rFonts w:ascii="Calibri" w:hAnsi="Calibri" w:eastAsia="Calibri" w:cs="Calibri"/>
        </w:rPr>
      </w:pPr>
      <w:r>
        <w:rPr>
          <w:rFonts w:eastAsia="Calibri" w:cs="Calibri"/>
        </w:rPr>
        <w:t>O objetivo foi materializar as ideias num Produto Mínimo Viável (MVP) codificado e testável, validando o fluxo tecnológico ponta a ponta: do carregamento do vídeo à visualização dos dados analíticos num ambiente gráfico.</w:t>
      </w:r>
    </w:p>
    <w:p>
      <w:pPr>
        <w:pStyle w:val="Heading2"/>
        <w:rPr/>
      </w:pPr>
      <w:bookmarkStart w:id="56" w:name="__RefHeading___Toc1963_1995753930"/>
      <w:bookmarkEnd w:id="56"/>
      <w:r>
        <w:rPr/>
        <w:t xml:space="preserve">Prova de Conceito em Código (PoC - Backend) </w:t>
      </w:r>
    </w:p>
    <w:p>
      <w:pPr>
        <w:pStyle w:val="Heading3"/>
        <w:rPr/>
      </w:pPr>
      <w:bookmarkStart w:id="57" w:name="__RefHeading___Toc1965_1995753930"/>
      <w:bookmarkStart w:id="58" w:name="_Toc429125208"/>
      <w:bookmarkEnd w:id="57"/>
      <w:r>
        <w:rPr/>
        <w:t>Motivos para o emprego desta técnica</w:t>
      </w:r>
      <w:bookmarkEnd w:id="58"/>
    </w:p>
    <w:p>
      <w:pPr>
        <w:pStyle w:val="Normal"/>
        <w:spacing w:before="240" w:after="240"/>
        <w:jc w:val="both"/>
        <w:rPr>
          <w:rFonts w:ascii="Calibri" w:hAnsi="Calibri" w:eastAsia="Calibri" w:cs="Calibri"/>
        </w:rPr>
      </w:pPr>
      <w:r>
        <w:rPr>
          <w:rFonts w:eastAsia="Calibri" w:cs="Calibri"/>
        </w:rPr>
        <w:t>Validar a exequibilidade das lógicas de engenharia projetadas no ambiente de desenvolvimento local (Ubuntu/Linux), verificando a compatibilidade e o correto empacotamento das dependências necessárias – incluindo bibliotecas de visão computacional, motores de OCR e frameworks de orquestração –, bem como a resolução de possíveis conflitos de versão entre pacotes e a adequação dos recursos de hardware disponíveis para o processamento local dos fluxos de vídeo.</w:t>
      </w:r>
    </w:p>
    <w:p>
      <w:pPr>
        <w:pStyle w:val="Heading3"/>
        <w:rPr/>
      </w:pPr>
      <w:bookmarkStart w:id="59" w:name="__RefHeading___Toc1967_1995753930"/>
      <w:bookmarkStart w:id="60" w:name="_Toc1767509903"/>
      <w:bookmarkEnd w:id="59"/>
      <w:r>
        <w:rPr/>
        <w:t>Como a técnica foi empregada</w:t>
      </w:r>
      <w:bookmarkEnd w:id="60"/>
    </w:p>
    <w:p>
      <w:pPr>
        <w:pStyle w:val="Normal"/>
        <w:jc w:val="both"/>
        <w:rPr>
          <w:rFonts w:ascii="Calibri" w:hAnsi="Calibri" w:eastAsia="Calibri" w:cs="Calibri"/>
        </w:rPr>
      </w:pPr>
      <w:r>
        <w:rPr>
          <w:rFonts w:eastAsia="Calibri" w:cs="Calibri"/>
        </w:rPr>
        <w:t xml:space="preserve">Foram implementados dois módulos autônomos em Python. O primeiro, </w:t>
      </w:r>
      <w:r>
        <w:rPr>
          <w:rFonts w:eastAsia="Calibri" w:cs="Calibri"/>
          <w:i/>
          <w:iCs/>
        </w:rPr>
        <w:t>extrator_precos.py</w:t>
      </w:r>
      <w:r>
        <w:rPr>
          <w:rFonts w:eastAsia="Calibri" w:cs="Calibri"/>
        </w:rPr>
        <w:t xml:space="preserve">, realizou o pré-processamento das imagens com redimensionamento bilinear suave e aplicou um pipeline de OCR baseado em Tesseract para extração de regiões textuais, gerando arquivos de log estruturados contendo os tokens reconhecidos. O segundo, </w:t>
      </w:r>
      <w:r>
        <w:rPr>
          <w:rFonts w:eastAsia="Calibri" w:cs="Calibri"/>
          <w:i/>
          <w:iCs/>
        </w:rPr>
        <w:t>estruturador_ia.py</w:t>
      </w:r>
      <w:r>
        <w:rPr>
          <w:rFonts w:eastAsia="Calibri" w:cs="Calibri"/>
        </w:rPr>
        <w:t>, consumiu esses logs via requisições síncronas por meio de uma REST API, invocando o modelo Gemini 2.5 Flash-Lite para interpretação semântica e normalização das entidades extraídas, e consolidou os dados em um arquivo JSON (</w:t>
      </w:r>
      <w:r>
        <w:rPr>
          <w:rFonts w:eastAsia="Calibri" w:cs="Calibri"/>
          <w:i/>
          <w:iCs/>
        </w:rPr>
        <w:t>catalogo_final.json</w:t>
      </w:r>
      <w:r>
        <w:rPr>
          <w:rFonts w:eastAsia="Calibri" w:cs="Calibri"/>
        </w:rPr>
        <w:t>) enriquecido com metadados contextuais, como a identificação do estabelecimento ("Mercado São Paulo").</w:t>
      </w:r>
    </w:p>
    <w:p>
      <w:pPr>
        <w:pStyle w:val="Heading3"/>
        <w:rPr/>
      </w:pPr>
      <w:bookmarkStart w:id="61" w:name="__RefHeading___Toc1969_1995753930"/>
      <w:bookmarkStart w:id="62" w:name="_Toc1952824230"/>
      <w:bookmarkEnd w:id="61"/>
      <w:r>
        <w:rPr/>
        <w:t>Resultados obtidos</w:t>
      </w:r>
      <w:bookmarkEnd w:id="62"/>
    </w:p>
    <w:p>
      <w:pPr>
        <w:pStyle w:val="Normal"/>
        <w:bidi w:val="0"/>
        <w:spacing w:before="240" w:after="240"/>
        <w:jc w:val="both"/>
        <w:rPr>
          <w:rFonts w:ascii="Calibri" w:hAnsi="Calibri" w:eastAsia="Calibri" w:cs="Calibri"/>
        </w:rPr>
      </w:pPr>
      <w:r>
        <w:rPr>
          <w:rFonts w:eastAsia="Calibri" w:cs="Calibri"/>
        </w:rPr>
        <w:t>Foram contornados conflitos críticos de compatibilidade entre as bibliotecas SciPy e NumPy no ambiente virtual, mediante o ajuste de versões e a resolução de dependências circulares. O pipeline de processamento gerou o output JSON de forma íntegra e aderente ao esquema definido, com todos os campos obrigatórios devidamente populados e sem inconsistências sintáticas ou semânticas, validando assim a eficácia funcional do algoritmo e a viabilidade da integração entre os módulos de extração e estruturação.</w:t>
      </w:r>
    </w:p>
    <w:p>
      <w:pPr>
        <w:pStyle w:val="Heading2"/>
        <w:rPr/>
      </w:pPr>
      <w:bookmarkStart w:id="63" w:name="__RefHeading___Toc1971_1995753930"/>
      <w:bookmarkEnd w:id="63"/>
      <w:r>
        <w:rPr/>
        <w:t>Mockup Funcional Web (Frontend interativo)</w:t>
      </w:r>
    </w:p>
    <w:p>
      <w:pPr>
        <w:pStyle w:val="Heading3"/>
        <w:rPr/>
      </w:pPr>
      <w:bookmarkStart w:id="64" w:name="__RefHeading___Toc1973_1995753930"/>
      <w:bookmarkStart w:id="65" w:name="_Toc429125208_Copia_1"/>
      <w:bookmarkEnd w:id="64"/>
      <w:r>
        <w:rPr/>
        <w:t>Motivos para o emprego desta técnica</w:t>
      </w:r>
      <w:bookmarkEnd w:id="65"/>
    </w:p>
    <w:p>
      <w:pPr>
        <w:pStyle w:val="Normal"/>
        <w:rPr/>
      </w:pPr>
      <w:r>
        <w:rPr/>
        <w:t>A base de dados estruturada em formato JSON, embora semanticamente consistente e tecnicamente completa, carece de representação visual imediata e intuitiva para o usuário final, inviabilizando sua utilização direta tanto em contextos de tomada de decisão no varejo quanto em apresentações acadêmicas e validações com stakeholders. Fazia-se, portanto, necessária a implementação de uma camada de Interface de Usuário (UI) funcional e interativa, capaz de consumir os dados processados e renderizá-los em componentes visuais de fácil compreensão, permitindo a exploração analítica dos preços extraídos e a comunicação eficaz dos resultados da solução.</w:t>
      </w:r>
    </w:p>
    <w:p>
      <w:pPr>
        <w:pStyle w:val="Heading3"/>
        <w:rPr/>
      </w:pPr>
      <w:bookmarkStart w:id="66" w:name="__RefHeading___Toc1975_1995753930"/>
      <w:bookmarkStart w:id="67" w:name="_Toc1767509903_Copia_1"/>
      <w:bookmarkEnd w:id="66"/>
      <w:r>
        <w:rPr/>
        <w:t>Como a técnica foi empregada</w:t>
      </w:r>
      <w:bookmarkEnd w:id="67"/>
    </w:p>
    <w:p>
      <w:pPr>
        <w:pStyle w:val="Normal"/>
        <w:rPr/>
      </w:pPr>
      <w:r>
        <w:rPr/>
        <w:t>Utilizou-se a framework Streamlit em conjunto com a biblioteca Pandas para o desenvolvimento de uma aplicação web em Python, estruturada para consumir o arquivo JSON gerado pelo pipeline de processamento, realizar a transformação e agregação dos dados em DataFrames, e renderizar dinamicamente os componentes visuais – incluindo métricas resumidas, tabelas interativas e gráficos –, garantindo baixa latência na atualização do dashboard e interoperabilidade entre o backend de estruturação e a camada de apresentação.</w:t>
      </w:r>
    </w:p>
    <w:p>
      <w:pPr>
        <w:pStyle w:val="Heading3"/>
        <w:rPr/>
      </w:pPr>
      <w:bookmarkStart w:id="68" w:name="__RefHeading___Toc1977_1995753930"/>
      <w:bookmarkStart w:id="69" w:name="_Toc1952824230_Copia_1"/>
      <w:bookmarkEnd w:id="68"/>
      <w:r>
        <w:rPr/>
        <w:t>Resultados obtidos</w:t>
      </w:r>
      <w:bookmarkEnd w:id="69"/>
    </w:p>
    <w:p>
      <w:pPr>
        <w:pStyle w:val="Normal"/>
        <w:rPr/>
      </w:pPr>
      <w:r>
        <w:rPr/>
        <w:t>A implementação resultou em um dashboard responsivo desenvolvido com Streamlit e Pandas, contemplando indicadores-chave de desempenho (KPIs) calculados dinamicamente a partir do catálogo estruturado em JSON, além de visualizações gráficas interativas (gráficos de barras) que permitem a filtragem e exploração dos dados por atributos como produto, marca, volume e faixa de preço.</w:t>
      </w:r>
    </w:p>
    <w:p>
      <w:pPr>
        <w:pStyle w:val="Heading2"/>
        <w:rPr/>
      </w:pPr>
      <w:bookmarkStart w:id="70" w:name="__RefHeading___Toc1979_1995753930"/>
      <w:bookmarkStart w:id="71" w:name="_Toc1049280403"/>
      <w:bookmarkEnd w:id="70"/>
      <w:r>
        <w:rPr/>
        <w:t>Apresentação/descrição do protótipo</w:t>
      </w:r>
      <w:bookmarkEnd w:id="71"/>
    </w:p>
    <w:p>
      <w:pPr>
        <w:pStyle w:val="Normal"/>
        <w:rPr/>
      </w:pPr>
      <w:r>
        <w:rPr>
          <w:rFonts w:eastAsia="Calibri" w:cs="Calibri"/>
          <w:b w:val="false"/>
          <w:bCs w:val="false"/>
          <w:sz w:val="22"/>
          <w:szCs w:val="22"/>
          <w:lang w:val="pt-BR"/>
        </w:rPr>
        <w:t>O protótipo finalizado consiste em um ecossistema funcional de Inteligência de Mercado, estruturado em uma arquitetura cliente-servidor assíncrona. O operador realiza a captura das gôndolas por meio de gravação contínua em dispositivos móveis, armazenando localmente os fluxos de vídeo. O motor backend, desenvolvido em Python, destila o vídeo, limpa o ruído com OCR otimizado e estrutura dezenas de marcações de preços num array JSON enriquecido com metadados de localização (ex.: "Mercado São Paulo") via inteligência artificial em segundos. O frontend, desenvolvido com Streamlit e Pandas e acessado via navegador (localhost), apresenta o Dashboard de Análise de Preços de Mercado, que disponibiliza ao usuário. O MVP comprova a viabilidade técnica da solução, demonstrando a eficácia da integração entre visão computacional e modelos generativos de linguagem para automatizar a coleta e estruturação de preços no varejo físico.</w:t>
      </w:r>
    </w:p>
    <w:p>
      <w:pPr>
        <w:pStyle w:val="Normal"/>
        <w:rPr>
          <w:rFonts w:ascii="Calibri" w:hAnsi="Calibri" w:eastAsia="Calibri"/>
          <w:b w:val="false"/>
          <w:bCs w:val="false"/>
          <w:color w:val="auto"/>
          <w:sz w:val="22"/>
          <w:szCs w:val="22"/>
          <w:lang w:val="pt-BR"/>
        </w:rPr>
      </w:pPr>
      <w:r>
        <w:rPr>
          <w:rFonts w:eastAsia="Calibri"/>
          <w:b w:val="false"/>
          <w:bCs w:val="false"/>
          <w:color w:val="auto"/>
          <w:sz w:val="22"/>
          <w:szCs w:val="22"/>
          <w:lang w:val="pt-BR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72660" cy="5071110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660" cy="5071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Autospacing="0" w:before="240" w:afterAutospacing="0" w:after="240"/>
        <w:ind w:start="0"/>
        <w:jc w:val="both"/>
        <w:rPr>
          <w:rFonts w:ascii="Calibri" w:hAnsi="Calibri" w:eastAsia="Calibri" w:cs="Calibri"/>
          <w:b/>
          <w:bCs/>
          <w:sz w:val="22"/>
          <w:szCs w:val="22"/>
          <w:lang w:val="pt-BR"/>
        </w:rPr>
      </w:pPr>
      <w:r>
        <w:rPr>
          <w:rFonts w:eastAsia="Calibri" w:cs="Calibri"/>
          <w:b/>
          <w:bCs/>
          <w:sz w:val="22"/>
          <w:szCs w:val="22"/>
          <w:lang w:val="pt-BR"/>
        </w:rPr>
        <w:t>Modelo de Monetização e Sustentabilidade:</w:t>
      </w:r>
    </w:p>
    <w:p>
      <w:pPr>
        <w:pStyle w:val="ListParagraph"/>
        <w:numPr>
          <w:ilvl w:val="0"/>
          <w:numId w:val="0"/>
        </w:numPr>
        <w:spacing w:beforeAutospacing="0" w:before="240" w:afterAutospacing="0" w:after="0"/>
        <w:ind w:hanging="0" w:start="0"/>
        <w:contextualSpacing/>
        <w:jc w:val="both"/>
        <w:rPr>
          <w:rFonts w:ascii="Calibri" w:hAnsi="Calibri" w:eastAsia="Calibri" w:cs="Calibri"/>
          <w:b/>
          <w:bCs/>
          <w:sz w:val="22"/>
          <w:szCs w:val="22"/>
          <w:lang w:val="pt-BR"/>
        </w:rPr>
      </w:pPr>
      <w:r>
        <w:rPr/>
        <w:t>O modelo de negócios adotado para o Market Prices Analysis fundamenta-se na arquitetura SaaS (Software as a Service), com fluxos de receita recorrente e previsibilidade financeira. A comercialização ocorre por meio de subscrições mensais (modelo App Pago), segmentadas em duas vertentes:</w:t>
      </w:r>
    </w:p>
    <w:p>
      <w:pPr>
        <w:pStyle w:val="ListParagraph"/>
        <w:numPr>
          <w:ilvl w:val="0"/>
          <w:numId w:val="2"/>
        </w:numPr>
        <w:spacing w:beforeAutospacing="0" w:before="240" w:afterAutospacing="0" w:after="0"/>
        <w:contextualSpacing/>
        <w:jc w:val="both"/>
        <w:rPr>
          <w:rFonts w:ascii="Calibri" w:hAnsi="Calibri" w:eastAsia="Calibri" w:cs="Calibri"/>
          <w:sz w:val="22"/>
          <w:szCs w:val="22"/>
          <w:lang w:val="pt-BR"/>
        </w:rPr>
      </w:pPr>
      <w:r>
        <w:rPr>
          <w:rFonts w:eastAsia="Calibri" w:cs="Calibri"/>
          <w:b/>
          <w:bCs/>
          <w:sz w:val="22"/>
          <w:szCs w:val="22"/>
          <w:lang w:val="pt-BR"/>
        </w:rPr>
        <w:t>Vertente B2C (Micro-SaaS)</w:t>
      </w:r>
      <w:r>
        <w:rPr>
          <w:rFonts w:eastAsia="Calibri" w:cs="Calibri"/>
          <w:b w:val="false"/>
          <w:bCs w:val="false"/>
          <w:sz w:val="22"/>
          <w:szCs w:val="22"/>
          <w:lang w:val="pt-BR"/>
        </w:rPr>
        <w:t>: direcionada a consumidores finais com elevado engajamento na gestão do orçamento familiar. Caracteriza-se por uma assinatura de baixo ticket médio, cujo retorno sobre o investimento é compensado pela economia gerada nas compras, com base na comparação de preços em tempo real.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jc w:val="both"/>
        <w:rPr>
          <w:rFonts w:ascii="Calibri" w:hAnsi="Calibri" w:eastAsia="Calibri" w:cs="Calibri"/>
          <w:sz w:val="22"/>
          <w:szCs w:val="22"/>
          <w:lang w:val="pt-BR"/>
        </w:rPr>
      </w:pPr>
      <w:r>
        <w:rPr>
          <w:rFonts w:eastAsia="Calibri" w:cs="Calibri"/>
          <w:b/>
          <w:bCs/>
          <w:sz w:val="22"/>
          <w:szCs w:val="22"/>
          <w:lang w:val="pt-BR"/>
        </w:rPr>
        <w:t>Vertente B2B</w:t>
      </w:r>
      <w:r>
        <w:rPr>
          <w:rFonts w:eastAsia="Calibri" w:cs="Calibri"/>
          <w:b w:val="false"/>
          <w:bCs w:val="false"/>
          <w:sz w:val="22"/>
          <w:szCs w:val="22"/>
          <w:lang w:val="pt-BR"/>
        </w:rPr>
        <w:t>: atua como serviço corporativo de Inteligência de Mercado para pequenos retalhistas, fornecedores e comércios locais (ex.: restaurantes). Oferece planos com mensalidade corporativa, garantindo acesso a relatórios automatizados, dashboards comparativos de concorrência e funcionalidades de extração de dados em larga escala.</w:t>
      </w:r>
    </w:p>
    <w:p>
      <w:pPr>
        <w:pStyle w:val="ListParagraph"/>
        <w:numPr>
          <w:ilvl w:val="0"/>
          <w:numId w:val="0"/>
        </w:numPr>
        <w:spacing w:beforeAutospacing="0" w:before="240" w:afterAutospacing="0" w:after="0"/>
        <w:ind w:hanging="0" w:start="720"/>
        <w:contextualSpacing/>
        <w:jc w:val="both"/>
        <w:rPr>
          <w:rFonts w:ascii="Calibri" w:hAnsi="Calibri" w:eastAsia="Calibri" w:cs="Calibri"/>
          <w:sz w:val="22"/>
          <w:szCs w:val="22"/>
          <w:lang w:val="pt-BR"/>
        </w:rPr>
      </w:pPr>
      <w:r>
        <w:rPr>
          <w:rFonts w:eastAsia="Calibri" w:cs="Calibri"/>
          <w:sz w:val="22"/>
          <w:szCs w:val="22"/>
          <w:lang w:val="pt-BR"/>
        </w:rPr>
      </w:r>
    </w:p>
    <w:p>
      <w:pPr>
        <w:pStyle w:val="ListParagraph"/>
        <w:spacing w:beforeAutospacing="0" w:before="240" w:afterAutospacing="0" w:after="0"/>
        <w:ind w:hanging="0" w:start="0"/>
        <w:contextualSpacing/>
        <w:jc w:val="both"/>
        <w:rPr>
          <w:rFonts w:ascii="Calibri" w:hAnsi="Calibri" w:eastAsia="Calibri" w:cs="Calibri"/>
          <w:b w:val="false"/>
          <w:bCs w:val="false"/>
          <w:sz w:val="22"/>
          <w:szCs w:val="22"/>
          <w:lang w:val="pt-BR"/>
        </w:rPr>
      </w:pPr>
      <w:r>
        <w:rPr>
          <w:rFonts w:eastAsia="Calibri" w:cs="Calibri"/>
          <w:b w:val="false"/>
          <w:bCs w:val="false"/>
          <w:sz w:val="22"/>
          <w:szCs w:val="22"/>
          <w:lang w:val="pt-BR"/>
        </w:rPr>
        <w:t>Essa abordagem assegura previsibilidade de caixa por meio de Receita Recorrente Mensal (MRR) e elevada escalabilidade do sistema, permitindo expansão horizontal sem comprometer a performance ou a qualidade do serviço prestado.</w:t>
      </w:r>
    </w:p>
    <w:p>
      <w:pPr>
        <w:pStyle w:val="ListParagraph"/>
        <w:spacing w:beforeAutospacing="0" w:before="240" w:afterAutospacing="0" w:after="0"/>
        <w:ind w:hanging="0" w:start="0"/>
        <w:contextualSpacing/>
        <w:jc w:val="both"/>
        <w:rPr>
          <w:rFonts w:ascii="Calibri" w:hAnsi="Calibri" w:eastAsia="Calibri" w:cs="Calibri"/>
          <w:b w:val="false"/>
          <w:bCs w:val="false"/>
          <w:sz w:val="22"/>
          <w:szCs w:val="22"/>
          <w:lang w:val="pt-BR"/>
        </w:rPr>
      </w:pPr>
      <w:r>
        <w:rPr>
          <w:rFonts w:eastAsia="Calibri" w:cs="Calibri"/>
          <w:b w:val="false"/>
          <w:bCs w:val="false"/>
          <w:sz w:val="22"/>
          <w:szCs w:val="22"/>
          <w:lang w:val="pt-BR"/>
        </w:rPr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701" w:right="1701" w:gutter="0" w:header="426" w:top="1417" w:footer="708" w:bottom="141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elanormal"/>
      <w:tblW w:w="849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a0" w:firstRow="1" w:noVBand="1" w:lastRow="0" w:firstColumn="1" w:lastColumn="0" w:noHBand="1"/>
    </w:tblPr>
    <w:tblGrid>
      <w:gridCol w:w="2830"/>
      <w:gridCol w:w="2830"/>
      <w:gridCol w:w="2830"/>
    </w:tblGrid>
    <w:tr>
      <w:trPr>
        <w:trHeight w:val="300" w:hRule="atLeast"/>
      </w:trPr>
      <w:tc>
        <w:tcPr>
          <w:tcW w:w="283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start="-115"/>
            <w:jc w:val="start"/>
            <w:rPr>
              <w:rFonts w:ascii="Calibri" w:hAnsi="Calibri" w:eastAsia="Calibri" w:cs=""/>
              <w:kern w:val="0"/>
              <w:sz w:val="22"/>
              <w:szCs w:val="22"/>
              <w:lang w:val="pt-BR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</w:r>
        </w:p>
      </w:tc>
      <w:tc>
        <w:tcPr>
          <w:tcW w:w="283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rFonts w:ascii="Calibri" w:hAnsi="Calibri" w:eastAsia="Calibri" w:cs=""/>
              <w:kern w:val="0"/>
              <w:sz w:val="22"/>
              <w:szCs w:val="22"/>
              <w:lang w:val="pt-BR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</w:r>
        </w:p>
      </w:tc>
      <w:tc>
        <w:tcPr>
          <w:tcW w:w="283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end="-115"/>
            <w:jc w:val="end"/>
            <w:rPr>
              <w:rFonts w:ascii="Calibri" w:hAnsi="Calibri" w:eastAsia="Calibri" w:cs=""/>
              <w:kern w:val="0"/>
              <w:sz w:val="22"/>
              <w:szCs w:val="22"/>
              <w:lang w:val="pt-BR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elanormal"/>
      <w:tblW w:w="849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a0" w:firstRow="1" w:noVBand="1" w:lastRow="0" w:firstColumn="1" w:lastColumn="0" w:noHBand="1"/>
    </w:tblPr>
    <w:tblGrid>
      <w:gridCol w:w="2830"/>
      <w:gridCol w:w="2830"/>
      <w:gridCol w:w="2830"/>
    </w:tblGrid>
    <w:tr>
      <w:trPr>
        <w:trHeight w:val="300" w:hRule="atLeast"/>
      </w:trPr>
      <w:tc>
        <w:tcPr>
          <w:tcW w:w="283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start="-115"/>
            <w:jc w:val="start"/>
            <w:rPr>
              <w:rFonts w:ascii="Calibri" w:hAnsi="Calibri" w:eastAsia="Calibri" w:cs=""/>
              <w:kern w:val="0"/>
              <w:sz w:val="22"/>
              <w:szCs w:val="22"/>
              <w:lang w:val="pt-BR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</w:r>
        </w:p>
      </w:tc>
      <w:tc>
        <w:tcPr>
          <w:tcW w:w="283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rFonts w:ascii="Calibri" w:hAnsi="Calibri" w:eastAsia="Calibri" w:cs=""/>
              <w:kern w:val="0"/>
              <w:sz w:val="22"/>
              <w:szCs w:val="22"/>
              <w:lang w:val="pt-BR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</w:r>
        </w:p>
      </w:tc>
      <w:tc>
        <w:tcPr>
          <w:tcW w:w="283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end="-115"/>
            <w:jc w:val="end"/>
            <w:rPr>
              <w:rFonts w:ascii="Calibri" w:hAnsi="Calibri" w:eastAsia="Calibri" w:cs=""/>
              <w:kern w:val="0"/>
              <w:sz w:val="22"/>
              <w:szCs w:val="22"/>
              <w:lang w:val="pt-BR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114300" distR="114300" simplePos="0" relativeHeight="2" behindDoc="1" locked="0" layoutInCell="0" allowOverlap="1">
          <wp:simplePos x="0" y="0"/>
          <wp:positionH relativeFrom="column">
            <wp:posOffset>1129665</wp:posOffset>
          </wp:positionH>
          <wp:positionV relativeFrom="paragraph">
            <wp:posOffset>-110490</wp:posOffset>
          </wp:positionV>
          <wp:extent cx="2824480" cy="615950"/>
          <wp:effectExtent l="0" t="0" r="0" b="0"/>
          <wp:wrapSquare wrapText="bothSides"/>
          <wp:docPr id="2" name="Imagem 2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824480" cy="615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pStyle w:val="Heading2"/>
      <w:lvlText w:val="%1.%2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pStyle w:val="Heading3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pStyle w:val="Heading4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pStyle w:val="Heading5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pStyle w:val="Heading6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Ttulo1Char"/>
    <w:autoRedefine/>
    <w:uiPriority w:val="9"/>
    <w:qFormat/>
    <w:rsid w:val="0009430b"/>
    <w:pPr>
      <w:keepNext w:val="true"/>
      <w:keepLines/>
      <w:numPr>
        <w:ilvl w:val="0"/>
        <w:numId w:val="1"/>
      </w:numPr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Ttulo2Char"/>
    <w:uiPriority w:val="9"/>
    <w:unhideWhenUsed/>
    <w:qFormat/>
    <w:rsid w:val="00f41929"/>
    <w:pPr>
      <w:keepNext w:val="true"/>
      <w:keepLines/>
      <w:numPr>
        <w:ilvl w:val="1"/>
        <w:numId w:val="1"/>
      </w:numPr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b11eef"/>
    <w:pPr>
      <w:keepNext w:val="true"/>
      <w:keepLines/>
      <w:numPr>
        <w:ilvl w:val="2"/>
        <w:numId w:val="1"/>
      </w:numPr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paragraph" w:styleId="Heading4">
    <w:name w:val="heading 4"/>
    <w:basedOn w:val="Normal"/>
    <w:next w:val="Normal"/>
    <w:link w:val="Ttulo4Char"/>
    <w:uiPriority w:val="9"/>
    <w:unhideWhenUsed/>
    <w:qFormat/>
    <w:rsid w:val="00b11eef"/>
    <w:pPr>
      <w:keepNext w:val="true"/>
      <w:keepLines/>
      <w:numPr>
        <w:ilvl w:val="3"/>
        <w:numId w:val="1"/>
      </w:numPr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b11eef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b11eef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b11eef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3763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b11eef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b11eef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09430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8289c"/>
    <w:rPr>
      <w:color w:themeColor="hyperlink" w:val="0563C1"/>
      <w:u w:val="single"/>
    </w:rPr>
  </w:style>
  <w:style w:type="character" w:styleId="CabealhoChar" w:customStyle="1">
    <w:name w:val="Cabeçalho Char"/>
    <w:basedOn w:val="DefaultParagraphFont"/>
    <w:uiPriority w:val="99"/>
    <w:qFormat/>
    <w:rsid w:val="00a8289c"/>
    <w:rPr/>
  </w:style>
  <w:style w:type="character" w:styleId="RodapChar" w:customStyle="1">
    <w:name w:val="Rodapé Char"/>
    <w:basedOn w:val="DefaultParagraphFont"/>
    <w:uiPriority w:val="99"/>
    <w:qFormat/>
    <w:rsid w:val="00a8289c"/>
    <w:rPr/>
  </w:style>
  <w:style w:type="character" w:styleId="Ttulo2Char" w:customStyle="1">
    <w:name w:val="Título 2 Char"/>
    <w:basedOn w:val="DefaultParagraphFont"/>
    <w:uiPriority w:val="9"/>
    <w:qFormat/>
    <w:rsid w:val="00f41929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Ttulo3Char" w:customStyle="1">
    <w:name w:val="Título 3 Char"/>
    <w:basedOn w:val="DefaultParagraphFont"/>
    <w:uiPriority w:val="9"/>
    <w:qFormat/>
    <w:rsid w:val="00b11eef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Ttulo4Char" w:customStyle="1">
    <w:name w:val="Título 4 Char"/>
    <w:basedOn w:val="DefaultParagraphFont"/>
    <w:uiPriority w:val="9"/>
    <w:qFormat/>
    <w:rsid w:val="00b11eef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Ttulo5Char" w:customStyle="1">
    <w:name w:val="Título 5 Char"/>
    <w:basedOn w:val="DefaultParagraphFont"/>
    <w:uiPriority w:val="9"/>
    <w:semiHidden/>
    <w:qFormat/>
    <w:rsid w:val="00b11ee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character" w:styleId="Ttulo6Char" w:customStyle="1">
    <w:name w:val="Título 6 Char"/>
    <w:basedOn w:val="DefaultParagraphFont"/>
    <w:uiPriority w:val="9"/>
    <w:semiHidden/>
    <w:qFormat/>
    <w:rsid w:val="00b11eef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character" w:styleId="Ttulo7Char" w:customStyle="1">
    <w:name w:val="Título 7 Char"/>
    <w:basedOn w:val="DefaultParagraphFont"/>
    <w:uiPriority w:val="9"/>
    <w:semiHidden/>
    <w:qFormat/>
    <w:rsid w:val="00b11eef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3763"/>
    </w:rPr>
  </w:style>
  <w:style w:type="character" w:styleId="Ttulo8Char" w:customStyle="1">
    <w:name w:val="Título 8 Char"/>
    <w:basedOn w:val="DefaultParagraphFont"/>
    <w:uiPriority w:val="9"/>
    <w:semiHidden/>
    <w:qFormat/>
    <w:rsid w:val="00b11eef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Ttulo9Char" w:customStyle="1">
    <w:name w:val="Título 9 Char"/>
    <w:basedOn w:val="DefaultParagraphFont"/>
    <w:uiPriority w:val="9"/>
    <w:semiHidden/>
    <w:qFormat/>
    <w:rsid w:val="00b11eef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fb3f90"/>
    <w:rPr>
      <w:rFonts w:ascii="Segoe UI" w:hAnsi="Segoe UI" w:cs="Segoe UI"/>
      <w:sz w:val="18"/>
      <w:szCs w:val="18"/>
    </w:rPr>
  </w:style>
  <w:style w:type="character" w:styleId="Vnculodendiceuser">
    <w:name w:val="Vínculo de índice (user)"/>
    <w:qFormat/>
    <w:rPr/>
  </w:style>
  <w:style w:type="character" w:styleId="Vnculodendice">
    <w:name w:val="Vínculo de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a8289c"/>
    <w:pPr>
      <w:numPr>
        <w:ilvl w:val="0"/>
        <w:numId w:val="0"/>
      </w:numPr>
      <w:outlineLvl w:val="9"/>
    </w:pPr>
    <w:rPr>
      <w:lang w:eastAsia="pt-BR"/>
    </w:rPr>
  </w:style>
  <w:style w:type="paragraph" w:styleId="TOC1">
    <w:name w:val="toc 1"/>
    <w:basedOn w:val="Normal"/>
    <w:next w:val="Normal"/>
    <w:autoRedefine/>
    <w:uiPriority w:val="39"/>
    <w:unhideWhenUsed/>
    <w:rsid w:val="00a8289c"/>
    <w:pPr>
      <w:spacing w:before="0" w:after="100"/>
    </w:pPr>
    <w:rPr/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a8289c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a8289c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TOC2">
    <w:name w:val="toc 2"/>
    <w:basedOn w:val="Normal"/>
    <w:next w:val="Normal"/>
    <w:autoRedefine/>
    <w:uiPriority w:val="39"/>
    <w:unhideWhenUsed/>
    <w:rsid w:val="00f41929"/>
    <w:pPr>
      <w:spacing w:before="0" w:after="100"/>
      <w:ind w:star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8f533a"/>
    <w:pPr>
      <w:spacing w:before="0" w:after="100"/>
      <w:ind w:start="440"/>
    </w:pPr>
    <w:rPr/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fb3f90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51e997d1"/>
    <w:pPr>
      <w:spacing w:before="0" w:after="160"/>
      <w:ind w:start="720"/>
      <w:contextualSpacing/>
    </w:pPr>
    <w:rPr/>
  </w:style>
  <w:style w:type="paragraph" w:styleId="TOC4">
    <w:name w:val="toc 4"/>
    <w:basedOn w:val="ndiceuser"/>
    <w:pPr/>
    <w:rPr/>
  </w:style>
  <w:style w:type="paragraph" w:styleId="TOC5">
    <w:name w:val="toc 5"/>
    <w:basedOn w:val="ndiceuser"/>
    <w:pPr/>
    <w:rPr/>
  </w:style>
  <w:style w:type="paragraph" w:styleId="TOC6">
    <w:name w:val="toc 6"/>
    <w:basedOn w:val="ndiceuser"/>
    <w:pPr/>
    <w:rPr/>
  </w:style>
  <w:style w:type="paragraph" w:styleId="TOC7">
    <w:name w:val="toc 7"/>
    <w:basedOn w:val="ndiceuser"/>
    <w:pPr/>
    <w:rPr/>
  </w:style>
  <w:style w:type="paragraph" w:styleId="TOC8">
    <w:name w:val="toc 8"/>
    <w:basedOn w:val="ndiceuser"/>
    <w:pPr/>
    <w:rPr/>
  </w:style>
  <w:style w:type="paragraph" w:styleId="TOC9">
    <w:name w:val="toc 9"/>
    <w:basedOn w:val="ndiceuser"/>
    <w:pPr/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<Relationship Id="rId15" Type="http://schemas.openxmlformats.org/officeDocument/2006/relationships/customXml" Target="../customXml/item3.xml"/><Relationship Id="rId16" Type="http://schemas.openxmlformats.org/officeDocument/2006/relationships/customXml" Target="../customXml/item4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86399F21440F54B81A4893F74DA4F94" ma:contentTypeVersion="13" ma:contentTypeDescription="Crie um novo documento." ma:contentTypeScope="" ma:versionID="62287d46308434b53fc0ff2112c22312">
  <xsd:schema xmlns:xsd="http://www.w3.org/2001/XMLSchema" xmlns:xs="http://www.w3.org/2001/XMLSchema" xmlns:p="http://schemas.microsoft.com/office/2006/metadata/properties" xmlns:ns3="0190bee1-42b9-4362-9dc8-2229f310bd34" xmlns:ns4="03f302f1-8385-4b47-b4da-efe960dc451d" targetNamespace="http://schemas.microsoft.com/office/2006/metadata/properties" ma:root="true" ma:fieldsID="af8f00a80264d602c4e5c82840e2ac0c" ns3:_="" ns4:_="">
    <xsd:import namespace="0190bee1-42b9-4362-9dc8-2229f310bd34"/>
    <xsd:import namespace="03f302f1-8385-4b47-b4da-efe960dc45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90bee1-42b9-4362-9dc8-2229f310bd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Location" ma:index="12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f302f1-8385-4b47-b4da-efe960dc451d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lhado com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Compartilhado Com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Hash de Dica de Compartilhamento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1966C6-F852-40AE-A6E8-8CF6A61C1B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90bee1-42b9-4362-9dc8-2229f310bd34"/>
    <ds:schemaRef ds:uri="03f302f1-8385-4b47-b4da-efe960dc45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3CEB0B-7641-490A-AEE2-0D527FA9DBA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EC81785-BABC-4337-BA16-CC0AAEB7CFC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8E1D792-95A5-40EA-912C-63A690ED6B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Application>LibreOffice/26.2.4.2$Windows_X86_64 LibreOffice_project/0229ac93fcf0d7cbc6376066c6f35021cef002dc</Application>
  <AppVersion>15.0000</AppVersion>
  <Pages>11</Pages>
  <Words>3573</Words>
  <Characters>20733</Characters>
  <CharactersWithSpaces>24137</CharactersWithSpaces>
  <Paragraphs>134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2020-11-17T12:03:00Z</dcterms:created>
  <dc:creator>NILSON RIBEIRO MODRO</dc:creator>
  <dc:description/>
  <dc:language>pt-BR</dc:language>
  <cp:lastModifiedBy/>
  <cp:lastPrinted>2020-09-24T18:07:00Z</cp:lastPrinted>
  <dcterms:modified xsi:type="dcterms:W3CDTF">2026-06-25T13:01:50Z</dcterms:modified>
  <cp:revision>56</cp:revision>
  <dc:subject/>
  <dc:title>Projeto de inovação – NOME DO PRODUTO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0x010100886399F21440F54B81A4893F74DA4F94</vt:lpwstr>
  </property>
</Properties>
</file>