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 I build the systems as well as the roadmap: Claude-driven agents that place real orders, size real risk, and carry a year of verified P&amp;L behind them.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drishti-beryl.vercel.app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LLM signal system on Delta crypto perpetuals. Claude runs a 15-minute, regime-aware cycle across 8 markets; an executor places reduce-only stop and limit orders behind a daily loss breaker.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web.sensibull.com/verified-pnl/imported-hare/longterm-pnl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options, covering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 house of finance, perps and options through prediction and binary markets, oracle-less and liquidation-free by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 (perps.timelock.trade).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people across engineering, product, design, business development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protocols, from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months, directing a 15-person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positive-EV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live algos on BTC and ETH. ATM short straddles returned 2,860% in a year; a refined MACD returned 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education and socials, growing YouTube from 3K to 25K subscribers in six months.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Stader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2023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On-chain analytics and treasury optimization for multi-chain staking.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$500K fund targeting 30%+ delta-neutral yields; hedged over $5M of portfolio exposure.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Tykhe Block Ventures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VC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2022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Technical due diligence on DeFi protocols; advised NFTPerp on derivative pricing.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2023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 Distributor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VIII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Equity Derivatives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2026-08-01T09:06:13.496Z</dcterms:created>
  <dcterms:modified xsi:type="dcterms:W3CDTF">2026-08-01T09:06:13.500Z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