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 6940 Assignment 1 - Part 2: Air Quality Analysis</w:t>
      </w:r>
    </w:p>
    <w:p>
      <w:pPr>
        <w:jc w:val="center"/>
      </w:pPr>
      <w:r>
        <w:rPr>
          <w:i/>
        </w:rPr>
        <w:t>New York City * Los Angeles * Chicago  |  2025 Q1 (Jan 1 - Mar 31)</w:t>
      </w:r>
    </w:p>
    <w:p/>
    <w:p>
      <w:pPr>
        <w:pStyle w:val="Heading1"/>
      </w:pPr>
      <w:r>
        <w:t>1. Dataset Description</w:t>
      </w:r>
    </w:p>
    <w:p>
      <w:r>
        <w:rPr>
          <w:b w:val="0"/>
          <w:i w:val="0"/>
        </w:rPr>
        <w:t>The curated dataset spans 2025-01-01 to 2025-03-31 (90 calendar days per city) and covers three US cities: New York City, Los Angeles, and Chicago. The grain is one row per (city, date), yielding 270 rows x 9 columns. PM2.5 measurements were retrieved from the OpenAQ v3 API (daily sensor aggregates) and weather data from the Open-Meteo Historical API (hourly, aggregated to daily).</w:t>
      </w:r>
    </w:p>
    <w:p/>
    <w:p>
      <w:pPr>
        <w:pStyle w:val="Heading2"/>
      </w:pPr>
      <w:r>
        <w:t>1.1 Variables</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2F5496"/>
          </w:tcPr>
          <w:p>
            <w:pPr>
              <w:jc w:val="center"/>
            </w:pPr>
            <w:r>
              <w:rPr>
                <w:b/>
                <w:color w:val="FFFFFF"/>
              </w:rPr>
              <w:t>Column</w:t>
            </w:r>
          </w:p>
        </w:tc>
        <w:tc>
          <w:tcPr>
            <w:tcW w:type="dxa" w:w="1134"/>
            <w:shd w:val="clear" w:color="auto" w:fill="2F5496"/>
          </w:tcPr>
          <w:p>
            <w:pPr>
              <w:jc w:val="center"/>
            </w:pPr>
            <w:r>
              <w:rPr>
                <w:b/>
                <w:color w:val="FFFFFF"/>
              </w:rPr>
              <w:t>Type</w:t>
            </w:r>
          </w:p>
        </w:tc>
        <w:tc>
          <w:tcPr>
            <w:tcW w:type="dxa" w:w="1134"/>
            <w:shd w:val="clear" w:color="auto" w:fill="2F5496"/>
          </w:tcPr>
          <w:p>
            <w:pPr>
              <w:jc w:val="center"/>
            </w:pPr>
            <w:r>
              <w:rPr>
                <w:b/>
                <w:color w:val="FFFFFF"/>
              </w:rPr>
              <w:t>Unit</w:t>
            </w:r>
          </w:p>
        </w:tc>
        <w:tc>
          <w:tcPr>
            <w:tcW w:type="dxa" w:w="4535"/>
            <w:shd w:val="clear" w:color="auto" w:fill="2F5496"/>
          </w:tcPr>
          <w:p>
            <w:pPr>
              <w:jc w:val="center"/>
            </w:pPr>
            <w:r>
              <w:rPr>
                <w:b/>
                <w:color w:val="FFFFFF"/>
              </w:rPr>
              <w:t>Description</w:t>
            </w:r>
          </w:p>
        </w:tc>
      </w:tr>
      <w:tr>
        <w:tc>
          <w:tcPr>
            <w:tcW w:type="dxa" w:w="1984"/>
          </w:tcPr>
          <w:p>
            <w:pPr>
              <w:jc w:val="center"/>
            </w:pPr>
            <w:r>
              <w:t>city</w:t>
            </w:r>
          </w:p>
        </w:tc>
        <w:tc>
          <w:tcPr>
            <w:tcW w:type="dxa" w:w="1134"/>
          </w:tcPr>
          <w:p>
            <w:pPr>
              <w:jc w:val="center"/>
            </w:pPr>
            <w:r>
              <w:t>String</w:t>
            </w:r>
          </w:p>
        </w:tc>
        <w:tc>
          <w:tcPr>
            <w:tcW w:type="dxa" w:w="1134"/>
          </w:tcPr>
          <w:p>
            <w:pPr>
              <w:jc w:val="center"/>
            </w:pPr>
            <w:r>
              <w:t>--</w:t>
            </w:r>
          </w:p>
        </w:tc>
        <w:tc>
          <w:tcPr>
            <w:tcW w:type="dxa" w:w="4535"/>
          </w:tcPr>
          <w:p>
            <w:pPr>
              <w:jc w:val="center"/>
            </w:pPr>
            <w:r>
              <w:t>City name (NYC, LA, Chicago)</w:t>
            </w:r>
          </w:p>
        </w:tc>
      </w:tr>
      <w:tr>
        <w:tc>
          <w:tcPr>
            <w:tcW w:type="dxa" w:w="1984"/>
          </w:tcPr>
          <w:p>
            <w:pPr>
              <w:jc w:val="center"/>
            </w:pPr>
            <w:r>
              <w:t>date</w:t>
            </w:r>
          </w:p>
        </w:tc>
        <w:tc>
          <w:tcPr>
            <w:tcW w:type="dxa" w:w="1134"/>
          </w:tcPr>
          <w:p>
            <w:pPr>
              <w:jc w:val="center"/>
            </w:pPr>
            <w:r>
              <w:t>Date</w:t>
            </w:r>
          </w:p>
        </w:tc>
        <w:tc>
          <w:tcPr>
            <w:tcW w:type="dxa" w:w="1134"/>
          </w:tcPr>
          <w:p>
            <w:pPr>
              <w:jc w:val="center"/>
            </w:pPr>
            <w:r>
              <w:t>UTC</w:t>
            </w:r>
          </w:p>
        </w:tc>
        <w:tc>
          <w:tcPr>
            <w:tcW w:type="dxa" w:w="4535"/>
          </w:tcPr>
          <w:p>
            <w:pPr>
              <w:jc w:val="center"/>
            </w:pPr>
            <w:r>
              <w:t>Calendar date (UTC midnight)</w:t>
            </w:r>
          </w:p>
        </w:tc>
      </w:tr>
      <w:tr>
        <w:tc>
          <w:tcPr>
            <w:tcW w:type="dxa" w:w="1984"/>
          </w:tcPr>
          <w:p>
            <w:pPr>
              <w:jc w:val="center"/>
            </w:pPr>
            <w:r>
              <w:t>pm25_mean</w:t>
            </w:r>
          </w:p>
        </w:tc>
        <w:tc>
          <w:tcPr>
            <w:tcW w:type="dxa" w:w="1134"/>
          </w:tcPr>
          <w:p>
            <w:pPr>
              <w:jc w:val="center"/>
            </w:pPr>
            <w:r>
              <w:t>Float</w:t>
            </w:r>
          </w:p>
        </w:tc>
        <w:tc>
          <w:tcPr>
            <w:tcW w:type="dxa" w:w="1134"/>
          </w:tcPr>
          <w:p>
            <w:pPr>
              <w:jc w:val="center"/>
            </w:pPr>
            <w:r>
              <w:t>ug/m3</w:t>
            </w:r>
          </w:p>
        </w:tc>
        <w:tc>
          <w:tcPr>
            <w:tcW w:type="dxa" w:w="4535"/>
          </w:tcPr>
          <w:p>
            <w:pPr>
              <w:jc w:val="center"/>
            </w:pPr>
            <w:r>
              <w:t>Daily mean PM2.5 (sensor avg)</w:t>
            </w:r>
          </w:p>
        </w:tc>
      </w:tr>
      <w:tr>
        <w:tc>
          <w:tcPr>
            <w:tcW w:type="dxa" w:w="1984"/>
          </w:tcPr>
          <w:p>
            <w:pPr>
              <w:jc w:val="center"/>
            </w:pPr>
            <w:r>
              <w:t>pm25_p90</w:t>
            </w:r>
          </w:p>
        </w:tc>
        <w:tc>
          <w:tcPr>
            <w:tcW w:type="dxa" w:w="1134"/>
          </w:tcPr>
          <w:p>
            <w:pPr>
              <w:jc w:val="center"/>
            </w:pPr>
            <w:r>
              <w:t>Float</w:t>
            </w:r>
          </w:p>
        </w:tc>
        <w:tc>
          <w:tcPr>
            <w:tcW w:type="dxa" w:w="1134"/>
          </w:tcPr>
          <w:p>
            <w:pPr>
              <w:jc w:val="center"/>
            </w:pPr>
            <w:r>
              <w:t>ug/m3</w:t>
            </w:r>
          </w:p>
        </w:tc>
        <w:tc>
          <w:tcPr>
            <w:tcW w:type="dxa" w:w="4535"/>
          </w:tcPr>
          <w:p>
            <w:pPr>
              <w:jc w:val="center"/>
            </w:pPr>
            <w:r>
              <w:t>Interpolated 90th-percentile PM2.5</w:t>
            </w:r>
          </w:p>
        </w:tc>
      </w:tr>
      <w:tr>
        <w:tc>
          <w:tcPr>
            <w:tcW w:type="dxa" w:w="1984"/>
          </w:tcPr>
          <w:p>
            <w:pPr>
              <w:jc w:val="center"/>
            </w:pPr>
            <w:r>
              <w:t>temp_mean</w:t>
            </w:r>
          </w:p>
        </w:tc>
        <w:tc>
          <w:tcPr>
            <w:tcW w:type="dxa" w:w="1134"/>
          </w:tcPr>
          <w:p>
            <w:pPr>
              <w:jc w:val="center"/>
            </w:pPr>
            <w:r>
              <w:t>Float</w:t>
            </w:r>
          </w:p>
        </w:tc>
        <w:tc>
          <w:tcPr>
            <w:tcW w:type="dxa" w:w="1134"/>
          </w:tcPr>
          <w:p>
            <w:pPr>
              <w:jc w:val="center"/>
            </w:pPr>
            <w:r>
              <w:t>deg C</w:t>
            </w:r>
          </w:p>
        </w:tc>
        <w:tc>
          <w:tcPr>
            <w:tcW w:type="dxa" w:w="4535"/>
          </w:tcPr>
          <w:p>
            <w:pPr>
              <w:jc w:val="center"/>
            </w:pPr>
            <w:r>
              <w:t>Daily mean air temperature at 2 m</w:t>
            </w:r>
          </w:p>
        </w:tc>
      </w:tr>
      <w:tr>
        <w:tc>
          <w:tcPr>
            <w:tcW w:type="dxa" w:w="1984"/>
          </w:tcPr>
          <w:p>
            <w:pPr>
              <w:jc w:val="center"/>
            </w:pPr>
            <w:r>
              <w:t>wind_speed_mean</w:t>
            </w:r>
          </w:p>
        </w:tc>
        <w:tc>
          <w:tcPr>
            <w:tcW w:type="dxa" w:w="1134"/>
          </w:tcPr>
          <w:p>
            <w:pPr>
              <w:jc w:val="center"/>
            </w:pPr>
            <w:r>
              <w:t>Float</w:t>
            </w:r>
          </w:p>
        </w:tc>
        <w:tc>
          <w:tcPr>
            <w:tcW w:type="dxa" w:w="1134"/>
          </w:tcPr>
          <w:p>
            <w:pPr>
              <w:jc w:val="center"/>
            </w:pPr>
            <w:r>
              <w:t>km/h</w:t>
            </w:r>
          </w:p>
        </w:tc>
        <w:tc>
          <w:tcPr>
            <w:tcW w:type="dxa" w:w="4535"/>
          </w:tcPr>
          <w:p>
            <w:pPr>
              <w:jc w:val="center"/>
            </w:pPr>
            <w:r>
              <w:t>Daily mean wind speed at 10 m</w:t>
            </w:r>
          </w:p>
        </w:tc>
      </w:tr>
      <w:tr>
        <w:tc>
          <w:tcPr>
            <w:tcW w:type="dxa" w:w="1984"/>
          </w:tcPr>
          <w:p>
            <w:pPr>
              <w:jc w:val="center"/>
            </w:pPr>
            <w:r>
              <w:t>precip_sum</w:t>
            </w:r>
          </w:p>
        </w:tc>
        <w:tc>
          <w:tcPr>
            <w:tcW w:type="dxa" w:w="1134"/>
          </w:tcPr>
          <w:p>
            <w:pPr>
              <w:jc w:val="center"/>
            </w:pPr>
            <w:r>
              <w:t>Float</w:t>
            </w:r>
          </w:p>
        </w:tc>
        <w:tc>
          <w:tcPr>
            <w:tcW w:type="dxa" w:w="1134"/>
          </w:tcPr>
          <w:p>
            <w:pPr>
              <w:jc w:val="center"/>
            </w:pPr>
            <w:r>
              <w:t>mm</w:t>
            </w:r>
          </w:p>
        </w:tc>
        <w:tc>
          <w:tcPr>
            <w:tcW w:type="dxa" w:w="4535"/>
          </w:tcPr>
          <w:p>
            <w:pPr>
              <w:jc w:val="center"/>
            </w:pPr>
            <w:r>
              <w:t>Daily precipitation total</w:t>
            </w:r>
          </w:p>
        </w:tc>
      </w:tr>
      <w:tr>
        <w:tc>
          <w:tcPr>
            <w:tcW w:type="dxa" w:w="1984"/>
          </w:tcPr>
          <w:p>
            <w:pPr>
              <w:jc w:val="center"/>
            </w:pPr>
            <w:r>
              <w:t>weekday</w:t>
            </w:r>
          </w:p>
        </w:tc>
        <w:tc>
          <w:tcPr>
            <w:tcW w:type="dxa" w:w="1134"/>
          </w:tcPr>
          <w:p>
            <w:pPr>
              <w:jc w:val="center"/>
            </w:pPr>
            <w:r>
              <w:t>String</w:t>
            </w:r>
          </w:p>
        </w:tc>
        <w:tc>
          <w:tcPr>
            <w:tcW w:type="dxa" w:w="1134"/>
          </w:tcPr>
          <w:p>
            <w:pPr>
              <w:jc w:val="center"/>
            </w:pPr>
            <w:r>
              <w:t>--</w:t>
            </w:r>
          </w:p>
        </w:tc>
        <w:tc>
          <w:tcPr>
            <w:tcW w:type="dxa" w:w="4535"/>
          </w:tcPr>
          <w:p>
            <w:pPr>
              <w:jc w:val="center"/>
            </w:pPr>
            <w:r>
              <w:t>Day of the week (Monday-Sunday)</w:t>
            </w:r>
          </w:p>
        </w:tc>
      </w:tr>
      <w:tr>
        <w:tc>
          <w:tcPr>
            <w:tcW w:type="dxa" w:w="1984"/>
          </w:tcPr>
          <w:p>
            <w:pPr>
              <w:jc w:val="center"/>
            </w:pPr>
            <w:r>
              <w:t>is_weekend</w:t>
            </w:r>
          </w:p>
        </w:tc>
        <w:tc>
          <w:tcPr>
            <w:tcW w:type="dxa" w:w="1134"/>
          </w:tcPr>
          <w:p>
            <w:pPr>
              <w:jc w:val="center"/>
            </w:pPr>
            <w:r>
              <w:t>Integer</w:t>
            </w:r>
          </w:p>
        </w:tc>
        <w:tc>
          <w:tcPr>
            <w:tcW w:type="dxa" w:w="1134"/>
          </w:tcPr>
          <w:p>
            <w:pPr>
              <w:jc w:val="center"/>
            </w:pPr>
            <w:r>
              <w:t>0/1</w:t>
            </w:r>
          </w:p>
        </w:tc>
        <w:tc>
          <w:tcPr>
            <w:tcW w:type="dxa" w:w="4535"/>
          </w:tcPr>
          <w:p>
            <w:pPr>
              <w:jc w:val="center"/>
            </w:pPr>
            <w:r>
              <w:t>1 = Saturday or Sunday, else 0</w:t>
            </w:r>
          </w:p>
        </w:tc>
      </w:tr>
    </w:tbl>
    <w:p/>
    <w:p>
      <w:pPr>
        <w:pStyle w:val="Heading1"/>
      </w:pPr>
      <w:r>
        <w:t>2. QA Rules and Missing-Day Count</w:t>
      </w:r>
    </w:p>
    <w:p>
      <w:r>
        <w:rPr>
          <w:b w:val="0"/>
          <w:i w:val="0"/>
        </w:rPr>
        <w:t>Four QA rules were applied sequentially in notebook 02_clean_features.ipynb before the curated Parquet file was written.</w:t>
      </w:r>
    </w:p>
    <w:tbl>
      <w:tblPr>
        <w:tblStyle w:val="TableGrid"/>
        <w:tblW w:type="auto" w:w="0"/>
        <w:tblLook w:firstColumn="1" w:firstRow="1" w:lastColumn="0" w:lastRow="0" w:noHBand="0" w:noVBand="1" w:val="04A0"/>
      </w:tblPr>
      <w:tblGrid>
        <w:gridCol w:w="3135"/>
        <w:gridCol w:w="3135"/>
        <w:gridCol w:w="3135"/>
      </w:tblGrid>
      <w:tr>
        <w:tc>
          <w:tcPr>
            <w:tcW w:type="dxa" w:w="567"/>
            <w:shd w:val="clear" w:color="auto" w:fill="2F5496"/>
          </w:tcPr>
          <w:p>
            <w:pPr>
              <w:jc w:val="center"/>
            </w:pPr>
            <w:r>
              <w:rPr>
                <w:b/>
                <w:color w:val="FFFFFF"/>
              </w:rPr>
              <w:t>#</w:t>
            </w:r>
          </w:p>
        </w:tc>
        <w:tc>
          <w:tcPr>
            <w:tcW w:type="dxa" w:w="5102"/>
            <w:shd w:val="clear" w:color="auto" w:fill="2F5496"/>
          </w:tcPr>
          <w:p>
            <w:pPr>
              <w:jc w:val="center"/>
            </w:pPr>
            <w:r>
              <w:rPr>
                <w:b/>
                <w:color w:val="FFFFFF"/>
              </w:rPr>
              <w:t>Rule</w:t>
            </w:r>
          </w:p>
        </w:tc>
        <w:tc>
          <w:tcPr>
            <w:tcW w:type="dxa" w:w="3118"/>
            <w:shd w:val="clear" w:color="auto" w:fill="2F5496"/>
          </w:tcPr>
          <w:p>
            <w:pPr>
              <w:jc w:val="center"/>
            </w:pPr>
            <w:r>
              <w:rPr>
                <w:b/>
                <w:color w:val="FFFFFF"/>
              </w:rPr>
              <w:t>Outcome</w:t>
            </w:r>
          </w:p>
        </w:tc>
      </w:tr>
      <w:tr>
        <w:tc>
          <w:tcPr>
            <w:tcW w:type="dxa" w:w="567"/>
          </w:tcPr>
          <w:p>
            <w:pPr>
              <w:jc w:val="center"/>
            </w:pPr>
            <w:r>
              <w:t>1</w:t>
            </w:r>
          </w:p>
        </w:tc>
        <w:tc>
          <w:tcPr>
            <w:tcW w:type="dxa" w:w="5102"/>
          </w:tcPr>
          <w:p>
            <w:pPr>
              <w:jc w:val="center"/>
            </w:pPr>
            <w:r>
              <w:t>Remove exact-duplicate PM2.5 records (same city, UTC timestamp, value)</w:t>
            </w:r>
          </w:p>
        </w:tc>
        <w:tc>
          <w:tcPr>
            <w:tcW w:type="dxa" w:w="3118"/>
          </w:tcPr>
          <w:p>
            <w:pPr>
              <w:jc w:val="center"/>
            </w:pPr>
            <w:r>
              <w:t>0 duplicates found</w:t>
            </w:r>
          </w:p>
        </w:tc>
      </w:tr>
      <w:tr>
        <w:tc>
          <w:tcPr>
            <w:tcW w:type="dxa" w:w="567"/>
          </w:tcPr>
          <w:p>
            <w:pPr>
              <w:jc w:val="center"/>
            </w:pPr>
            <w:r>
              <w:t>2</w:t>
            </w:r>
          </w:p>
        </w:tc>
        <w:tc>
          <w:tcPr>
            <w:tcW w:type="dxa" w:w="5102"/>
          </w:tcPr>
          <w:p>
            <w:pPr>
              <w:jc w:val="center"/>
            </w:pPr>
            <w:r>
              <w:t>Convert all timestamps to UTC before extracting the calendar date (prevents midnight-boundary double-counting across DST offsets)</w:t>
            </w:r>
          </w:p>
        </w:tc>
        <w:tc>
          <w:tcPr>
            <w:tcW w:type="dxa" w:w="3118"/>
          </w:tcPr>
          <w:p>
            <w:pPr>
              <w:jc w:val="center"/>
            </w:pPr>
            <w:r>
              <w:t>UTC applied uniformly</w:t>
            </w:r>
          </w:p>
        </w:tc>
      </w:tr>
      <w:tr>
        <w:tc>
          <w:tcPr>
            <w:tcW w:type="dxa" w:w="567"/>
          </w:tcPr>
          <w:p>
            <w:pPr>
              <w:jc w:val="center"/>
            </w:pPr>
            <w:r>
              <w:t>3</w:t>
            </w:r>
          </w:p>
        </w:tc>
        <w:tc>
          <w:tcPr>
            <w:tcW w:type="dxa" w:w="5102"/>
          </w:tcPr>
          <w:p>
            <w:pPr>
              <w:jc w:val="center"/>
            </w:pPr>
            <w:r>
              <w:t>If a day has fewer than 12 PM2.5 hourly readings (&lt; 50% of 24 h), set pm25_mean / pm25_p90 to NaN</w:t>
            </w:r>
          </w:p>
        </w:tc>
        <w:tc>
          <w:tcPr>
            <w:tcW w:type="dxa" w:w="3118"/>
          </w:tcPr>
          <w:p>
            <w:pPr>
              <w:jc w:val="center"/>
            </w:pPr>
            <w:r>
              <w:t>0 low-coverage days</w:t>
            </w:r>
          </w:p>
        </w:tc>
      </w:tr>
      <w:tr>
        <w:tc>
          <w:tcPr>
            <w:tcW w:type="dxa" w:w="567"/>
          </w:tcPr>
          <w:p>
            <w:pPr>
              <w:jc w:val="center"/>
            </w:pPr>
            <w:r>
              <w:t>4</w:t>
            </w:r>
          </w:p>
        </w:tc>
        <w:tc>
          <w:tcPr>
            <w:tcW w:type="dxa" w:w="5102"/>
          </w:tcPr>
          <w:p>
            <w:pPr>
              <w:jc w:val="center"/>
            </w:pPr>
            <w:r>
              <w:t>Drop days where pm25_mean is NaN (no interpolation)</w:t>
            </w:r>
          </w:p>
        </w:tc>
        <w:tc>
          <w:tcPr>
            <w:tcW w:type="dxa" w:w="3118"/>
          </w:tcPr>
          <w:p>
            <w:pPr>
              <w:jc w:val="center"/>
            </w:pPr>
            <w:r>
              <w:t>0 days dropped per city</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2F5496"/>
          </w:tcPr>
          <w:p>
            <w:pPr>
              <w:jc w:val="center"/>
            </w:pPr>
            <w:r>
              <w:rPr>
                <w:b/>
                <w:color w:val="FFFFFF"/>
              </w:rPr>
              <w:t>City</w:t>
            </w:r>
          </w:p>
        </w:tc>
        <w:tc>
          <w:tcPr>
            <w:tcW w:type="dxa" w:w="1984"/>
            <w:shd w:val="clear" w:color="auto" w:fill="2F5496"/>
          </w:tcPr>
          <w:p>
            <w:pPr>
              <w:jc w:val="center"/>
            </w:pPr>
            <w:r>
              <w:rPr>
                <w:b/>
                <w:color w:val="FFFFFF"/>
              </w:rPr>
              <w:t>Expected Days</w:t>
            </w:r>
          </w:p>
        </w:tc>
        <w:tc>
          <w:tcPr>
            <w:tcW w:type="dxa" w:w="1984"/>
            <w:shd w:val="clear" w:color="auto" w:fill="2F5496"/>
          </w:tcPr>
          <w:p>
            <w:pPr>
              <w:jc w:val="center"/>
            </w:pPr>
            <w:r>
              <w:rPr>
                <w:b/>
                <w:color w:val="FFFFFF"/>
              </w:rPr>
              <w:t>Days Present</w:t>
            </w:r>
          </w:p>
        </w:tc>
        <w:tc>
          <w:tcPr>
            <w:tcW w:type="dxa" w:w="1984"/>
            <w:shd w:val="clear" w:color="auto" w:fill="2F5496"/>
          </w:tcPr>
          <w:p>
            <w:pPr>
              <w:jc w:val="center"/>
            </w:pPr>
            <w:r>
              <w:rPr>
                <w:b/>
                <w:color w:val="FFFFFF"/>
              </w:rPr>
              <w:t>Days Dropped</w:t>
            </w:r>
          </w:p>
        </w:tc>
      </w:tr>
      <w:tr>
        <w:tc>
          <w:tcPr>
            <w:tcW w:type="dxa" w:w="2268"/>
          </w:tcPr>
          <w:p>
            <w:pPr>
              <w:jc w:val="center"/>
            </w:pPr>
            <w:r>
              <w:t>Chicago</w:t>
            </w:r>
          </w:p>
        </w:tc>
        <w:tc>
          <w:tcPr>
            <w:tcW w:type="dxa" w:w="1984"/>
          </w:tcPr>
          <w:p>
            <w:pPr>
              <w:jc w:val="center"/>
            </w:pPr>
            <w:r>
              <w:t>90</w:t>
            </w:r>
          </w:p>
        </w:tc>
        <w:tc>
          <w:tcPr>
            <w:tcW w:type="dxa" w:w="1984"/>
          </w:tcPr>
          <w:p>
            <w:pPr>
              <w:jc w:val="center"/>
            </w:pPr>
            <w:r>
              <w:t>90</w:t>
            </w:r>
          </w:p>
        </w:tc>
        <w:tc>
          <w:tcPr>
            <w:tcW w:type="dxa" w:w="1984"/>
          </w:tcPr>
          <w:p>
            <w:pPr>
              <w:jc w:val="center"/>
            </w:pPr>
            <w:r>
              <w:t>0</w:t>
            </w:r>
          </w:p>
        </w:tc>
      </w:tr>
      <w:tr>
        <w:tc>
          <w:tcPr>
            <w:tcW w:type="dxa" w:w="2268"/>
          </w:tcPr>
          <w:p>
            <w:pPr>
              <w:jc w:val="center"/>
            </w:pPr>
            <w:r>
              <w:t>Los Angeles</w:t>
            </w:r>
          </w:p>
        </w:tc>
        <w:tc>
          <w:tcPr>
            <w:tcW w:type="dxa" w:w="1984"/>
          </w:tcPr>
          <w:p>
            <w:pPr>
              <w:jc w:val="center"/>
            </w:pPr>
            <w:r>
              <w:t>90</w:t>
            </w:r>
          </w:p>
        </w:tc>
        <w:tc>
          <w:tcPr>
            <w:tcW w:type="dxa" w:w="1984"/>
          </w:tcPr>
          <w:p>
            <w:pPr>
              <w:jc w:val="center"/>
            </w:pPr>
            <w:r>
              <w:t>90</w:t>
            </w:r>
          </w:p>
        </w:tc>
        <w:tc>
          <w:tcPr>
            <w:tcW w:type="dxa" w:w="1984"/>
          </w:tcPr>
          <w:p>
            <w:pPr>
              <w:jc w:val="center"/>
            </w:pPr>
            <w:r>
              <w:t>0</w:t>
            </w:r>
          </w:p>
        </w:tc>
      </w:tr>
      <w:tr>
        <w:tc>
          <w:tcPr>
            <w:tcW w:type="dxa" w:w="2268"/>
          </w:tcPr>
          <w:p>
            <w:pPr>
              <w:jc w:val="center"/>
            </w:pPr>
            <w:r>
              <w:t>New York City</w:t>
            </w:r>
          </w:p>
        </w:tc>
        <w:tc>
          <w:tcPr>
            <w:tcW w:type="dxa" w:w="1984"/>
          </w:tcPr>
          <w:p>
            <w:pPr>
              <w:jc w:val="center"/>
            </w:pPr>
            <w:r>
              <w:t>90</w:t>
            </w:r>
          </w:p>
        </w:tc>
        <w:tc>
          <w:tcPr>
            <w:tcW w:type="dxa" w:w="1984"/>
          </w:tcPr>
          <w:p>
            <w:pPr>
              <w:jc w:val="center"/>
            </w:pPr>
            <w:r>
              <w:t>90</w:t>
            </w:r>
          </w:p>
        </w:tc>
        <w:tc>
          <w:tcPr>
            <w:tcW w:type="dxa" w:w="1984"/>
          </w:tcPr>
          <w:p>
            <w:pPr>
              <w:jc w:val="center"/>
            </w:pPr>
            <w:r>
              <w:t>0</w:t>
            </w:r>
          </w:p>
        </w:tc>
      </w:tr>
    </w:tbl>
    <w:p/>
    <w:p>
      <w:r>
        <w:rPr>
          <w:b w:val="0"/>
          <w:i w:val="0"/>
        </w:rPr>
        <w:t>All 90 calendar days are present and valid for each city (270 rows total). No days were dropped by any QA rule, confirming the raw sensor data had complete coverage and acceptable observation counts throughout Q1 2025.</w:t>
      </w:r>
    </w:p>
    <w:p/>
    <w:p>
      <w:pPr>
        <w:pStyle w:val="Heading1"/>
      </w:pPr>
      <w:r>
        <w:t>3. Required Metrics with Interpretation</w:t>
      </w:r>
    </w:p>
    <w:p>
      <w:pPr>
        <w:pStyle w:val="Heading2"/>
      </w:pPr>
      <w:r>
        <w:t>A1. Summary Statistics of Daily pm25_mean per City (DuckDB)</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268"/>
            <w:shd w:val="clear" w:color="auto" w:fill="2F5496"/>
          </w:tcPr>
          <w:p>
            <w:pPr>
              <w:jc w:val="center"/>
            </w:pPr>
            <w:r>
              <w:rPr>
                <w:b/>
                <w:color w:val="FFFFFF"/>
              </w:rPr>
              <w:t>City</w:t>
            </w:r>
          </w:p>
        </w:tc>
        <w:tc>
          <w:tcPr>
            <w:tcW w:type="dxa" w:w="1417"/>
            <w:shd w:val="clear" w:color="auto" w:fill="2F5496"/>
          </w:tcPr>
          <w:p>
            <w:pPr>
              <w:jc w:val="center"/>
            </w:pPr>
            <w:r>
              <w:rPr>
                <w:b/>
                <w:color w:val="FFFFFF"/>
              </w:rPr>
              <w:t>N Days</w:t>
            </w:r>
          </w:p>
        </w:tc>
        <w:tc>
          <w:tcPr>
            <w:tcW w:type="dxa" w:w="1984"/>
            <w:shd w:val="clear" w:color="auto" w:fill="2F5496"/>
          </w:tcPr>
          <w:p>
            <w:pPr>
              <w:jc w:val="center"/>
            </w:pPr>
            <w:r>
              <w:rPr>
                <w:b/>
                <w:color w:val="FFFFFF"/>
              </w:rPr>
              <w:t>Mean (ug/m3)</w:t>
            </w:r>
          </w:p>
        </w:tc>
        <w:tc>
          <w:tcPr>
            <w:tcW w:type="dxa" w:w="1984"/>
            <w:shd w:val="clear" w:color="auto" w:fill="2F5496"/>
          </w:tcPr>
          <w:p>
            <w:pPr>
              <w:jc w:val="center"/>
            </w:pPr>
            <w:r>
              <w:rPr>
                <w:b/>
                <w:color w:val="FFFFFF"/>
              </w:rPr>
              <w:t>Median (ug/m3)</w:t>
            </w:r>
          </w:p>
        </w:tc>
        <w:tc>
          <w:tcPr>
            <w:tcW w:type="dxa" w:w="2268"/>
            <w:shd w:val="clear" w:color="auto" w:fill="2F5496"/>
          </w:tcPr>
          <w:p>
            <w:pPr>
              <w:jc w:val="center"/>
            </w:pPr>
            <w:r>
              <w:rPr>
                <w:b/>
                <w:color w:val="FFFFFF"/>
              </w:rPr>
              <w:t>Std Dev (ug/m3)</w:t>
            </w:r>
          </w:p>
        </w:tc>
      </w:tr>
      <w:tr>
        <w:tc>
          <w:tcPr>
            <w:tcW w:type="dxa" w:w="2268"/>
          </w:tcPr>
          <w:p>
            <w:pPr>
              <w:jc w:val="center"/>
            </w:pPr>
            <w:r>
              <w:t>Chicago</w:t>
            </w:r>
          </w:p>
        </w:tc>
        <w:tc>
          <w:tcPr>
            <w:tcW w:type="dxa" w:w="1417"/>
          </w:tcPr>
          <w:p>
            <w:pPr>
              <w:jc w:val="center"/>
            </w:pPr>
            <w:r>
              <w:t>90</w:t>
            </w:r>
          </w:p>
        </w:tc>
        <w:tc>
          <w:tcPr>
            <w:tcW w:type="dxa" w:w="1984"/>
          </w:tcPr>
          <w:p>
            <w:pPr>
              <w:jc w:val="center"/>
            </w:pPr>
            <w:r>
              <w:t>7.21</w:t>
            </w:r>
          </w:p>
        </w:tc>
        <w:tc>
          <w:tcPr>
            <w:tcW w:type="dxa" w:w="1984"/>
          </w:tcPr>
          <w:p>
            <w:pPr>
              <w:jc w:val="center"/>
            </w:pPr>
            <w:r>
              <w:t>5.87</w:t>
            </w:r>
          </w:p>
        </w:tc>
        <w:tc>
          <w:tcPr>
            <w:tcW w:type="dxa" w:w="2268"/>
          </w:tcPr>
          <w:p>
            <w:pPr>
              <w:jc w:val="center"/>
            </w:pPr>
            <w:r>
              <w:t>3.99</w:t>
            </w:r>
          </w:p>
        </w:tc>
      </w:tr>
      <w:tr>
        <w:tc>
          <w:tcPr>
            <w:tcW w:type="dxa" w:w="2268"/>
          </w:tcPr>
          <w:p>
            <w:pPr>
              <w:jc w:val="center"/>
            </w:pPr>
            <w:r>
              <w:t>Los Angeles</w:t>
            </w:r>
          </w:p>
        </w:tc>
        <w:tc>
          <w:tcPr>
            <w:tcW w:type="dxa" w:w="1417"/>
          </w:tcPr>
          <w:p>
            <w:pPr>
              <w:jc w:val="center"/>
            </w:pPr>
            <w:r>
              <w:t>90</w:t>
            </w:r>
          </w:p>
        </w:tc>
        <w:tc>
          <w:tcPr>
            <w:tcW w:type="dxa" w:w="1984"/>
          </w:tcPr>
          <w:p>
            <w:pPr>
              <w:jc w:val="center"/>
            </w:pPr>
            <w:r>
              <w:t>13.17</w:t>
            </w:r>
          </w:p>
        </w:tc>
        <w:tc>
          <w:tcPr>
            <w:tcW w:type="dxa" w:w="1984"/>
          </w:tcPr>
          <w:p>
            <w:pPr>
              <w:jc w:val="center"/>
            </w:pPr>
            <w:r>
              <w:t>9.71</w:t>
            </w:r>
          </w:p>
        </w:tc>
        <w:tc>
          <w:tcPr>
            <w:tcW w:type="dxa" w:w="2268"/>
          </w:tcPr>
          <w:p>
            <w:pPr>
              <w:jc w:val="center"/>
            </w:pPr>
            <w:r>
              <w:t>12.03</w:t>
            </w:r>
          </w:p>
        </w:tc>
      </w:tr>
      <w:tr>
        <w:tc>
          <w:tcPr>
            <w:tcW w:type="dxa" w:w="2268"/>
          </w:tcPr>
          <w:p>
            <w:pPr>
              <w:jc w:val="center"/>
            </w:pPr>
            <w:r>
              <w:t>New York City</w:t>
            </w:r>
          </w:p>
        </w:tc>
        <w:tc>
          <w:tcPr>
            <w:tcW w:type="dxa" w:w="1417"/>
          </w:tcPr>
          <w:p>
            <w:pPr>
              <w:jc w:val="center"/>
            </w:pPr>
            <w:r>
              <w:t>90</w:t>
            </w:r>
          </w:p>
        </w:tc>
        <w:tc>
          <w:tcPr>
            <w:tcW w:type="dxa" w:w="1984"/>
          </w:tcPr>
          <w:p>
            <w:pPr>
              <w:jc w:val="center"/>
            </w:pPr>
            <w:r>
              <w:t>7.12</w:t>
            </w:r>
          </w:p>
        </w:tc>
        <w:tc>
          <w:tcPr>
            <w:tcW w:type="dxa" w:w="1984"/>
          </w:tcPr>
          <w:p>
            <w:pPr>
              <w:jc w:val="center"/>
            </w:pPr>
            <w:r>
              <w:t>6.04</w:t>
            </w:r>
          </w:p>
        </w:tc>
        <w:tc>
          <w:tcPr>
            <w:tcW w:type="dxa" w:w="2268"/>
          </w:tcPr>
          <w:p>
            <w:pPr>
              <w:jc w:val="center"/>
            </w:pPr>
            <w:r>
              <w:t>3.91</w:t>
            </w:r>
          </w:p>
        </w:tc>
      </w:tr>
    </w:tbl>
    <w:p/>
    <w:p>
      <w:r>
        <w:rPr>
          <w:b w:val="0"/>
          <w:i w:val="0"/>
        </w:rPr>
        <w:t>Los Angeles has the highest mean PM2.5 (13.17 ug/m3) but the mean is pulled far above its median (9.71) by wildfire episodes, indicating a strongly right-skewed distribution. Chicago and NYC have similar means (~7 ug/m3) with medians close to their means, suggesting more symmetric day-to-day distributions.</w:t>
      </w:r>
    </w:p>
    <w:p/>
    <w:p>
      <w:pPr>
        <w:pStyle w:val="Heading2"/>
      </w:pPr>
      <w:r>
        <w:t>A2. Summary Statistics of Daily pm25_p90 per City (DuckDB)</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268"/>
            <w:shd w:val="clear" w:color="auto" w:fill="2F5496"/>
          </w:tcPr>
          <w:p>
            <w:pPr>
              <w:jc w:val="center"/>
            </w:pPr>
            <w:r>
              <w:rPr>
                <w:b/>
                <w:color w:val="FFFFFF"/>
              </w:rPr>
              <w:t>City</w:t>
            </w:r>
          </w:p>
        </w:tc>
        <w:tc>
          <w:tcPr>
            <w:tcW w:type="dxa" w:w="1417"/>
            <w:shd w:val="clear" w:color="auto" w:fill="2F5496"/>
          </w:tcPr>
          <w:p>
            <w:pPr>
              <w:jc w:val="center"/>
            </w:pPr>
            <w:r>
              <w:rPr>
                <w:b/>
                <w:color w:val="FFFFFF"/>
              </w:rPr>
              <w:t>N Days</w:t>
            </w:r>
          </w:p>
        </w:tc>
        <w:tc>
          <w:tcPr>
            <w:tcW w:type="dxa" w:w="1984"/>
            <w:shd w:val="clear" w:color="auto" w:fill="2F5496"/>
          </w:tcPr>
          <w:p>
            <w:pPr>
              <w:jc w:val="center"/>
            </w:pPr>
            <w:r>
              <w:rPr>
                <w:b/>
                <w:color w:val="FFFFFF"/>
              </w:rPr>
              <w:t>Mean (ug/m3)</w:t>
            </w:r>
          </w:p>
        </w:tc>
        <w:tc>
          <w:tcPr>
            <w:tcW w:type="dxa" w:w="1984"/>
            <w:shd w:val="clear" w:color="auto" w:fill="2F5496"/>
          </w:tcPr>
          <w:p>
            <w:pPr>
              <w:jc w:val="center"/>
            </w:pPr>
            <w:r>
              <w:rPr>
                <w:b/>
                <w:color w:val="FFFFFF"/>
              </w:rPr>
              <w:t>Median (ug/m3)</w:t>
            </w:r>
          </w:p>
        </w:tc>
        <w:tc>
          <w:tcPr>
            <w:tcW w:type="dxa" w:w="2268"/>
            <w:shd w:val="clear" w:color="auto" w:fill="2F5496"/>
          </w:tcPr>
          <w:p>
            <w:pPr>
              <w:jc w:val="center"/>
            </w:pPr>
            <w:r>
              <w:rPr>
                <w:b/>
                <w:color w:val="FFFFFF"/>
              </w:rPr>
              <w:t>Std Dev (ug/m3)</w:t>
            </w:r>
          </w:p>
        </w:tc>
      </w:tr>
      <w:tr>
        <w:tc>
          <w:tcPr>
            <w:tcW w:type="dxa" w:w="2268"/>
          </w:tcPr>
          <w:p>
            <w:pPr>
              <w:jc w:val="center"/>
            </w:pPr>
            <w:r>
              <w:t>Chicago</w:t>
            </w:r>
          </w:p>
        </w:tc>
        <w:tc>
          <w:tcPr>
            <w:tcW w:type="dxa" w:w="1417"/>
          </w:tcPr>
          <w:p>
            <w:pPr>
              <w:jc w:val="center"/>
            </w:pPr>
            <w:r>
              <w:t>90</w:t>
            </w:r>
          </w:p>
        </w:tc>
        <w:tc>
          <w:tcPr>
            <w:tcW w:type="dxa" w:w="1984"/>
          </w:tcPr>
          <w:p>
            <w:pPr>
              <w:jc w:val="center"/>
            </w:pPr>
            <w:r>
              <w:t>10.89</w:t>
            </w:r>
          </w:p>
        </w:tc>
        <w:tc>
          <w:tcPr>
            <w:tcW w:type="dxa" w:w="1984"/>
          </w:tcPr>
          <w:p>
            <w:pPr>
              <w:jc w:val="center"/>
            </w:pPr>
            <w:r>
              <w:t>9.49</w:t>
            </w:r>
          </w:p>
        </w:tc>
        <w:tc>
          <w:tcPr>
            <w:tcW w:type="dxa" w:w="2268"/>
          </w:tcPr>
          <w:p>
            <w:pPr>
              <w:jc w:val="center"/>
            </w:pPr>
            <w:r>
              <w:t>7.92</w:t>
            </w:r>
          </w:p>
        </w:tc>
      </w:tr>
      <w:tr>
        <w:tc>
          <w:tcPr>
            <w:tcW w:type="dxa" w:w="2268"/>
          </w:tcPr>
          <w:p>
            <w:pPr>
              <w:jc w:val="center"/>
            </w:pPr>
            <w:r>
              <w:t>Los Angeles</w:t>
            </w:r>
          </w:p>
        </w:tc>
        <w:tc>
          <w:tcPr>
            <w:tcW w:type="dxa" w:w="1417"/>
          </w:tcPr>
          <w:p>
            <w:pPr>
              <w:jc w:val="center"/>
            </w:pPr>
            <w:r>
              <w:t>90</w:t>
            </w:r>
          </w:p>
        </w:tc>
        <w:tc>
          <w:tcPr>
            <w:tcW w:type="dxa" w:w="1984"/>
          </w:tcPr>
          <w:p>
            <w:pPr>
              <w:jc w:val="center"/>
            </w:pPr>
            <w:r>
              <w:t>22.00</w:t>
            </w:r>
          </w:p>
        </w:tc>
        <w:tc>
          <w:tcPr>
            <w:tcW w:type="dxa" w:w="1984"/>
          </w:tcPr>
          <w:p>
            <w:pPr>
              <w:jc w:val="center"/>
            </w:pPr>
            <w:r>
              <w:t>16.38</w:t>
            </w:r>
          </w:p>
        </w:tc>
        <w:tc>
          <w:tcPr>
            <w:tcW w:type="dxa" w:w="2268"/>
          </w:tcPr>
          <w:p>
            <w:pPr>
              <w:jc w:val="center"/>
            </w:pPr>
            <w:r>
              <w:t>29.17</w:t>
            </w:r>
          </w:p>
        </w:tc>
      </w:tr>
      <w:tr>
        <w:tc>
          <w:tcPr>
            <w:tcW w:type="dxa" w:w="2268"/>
          </w:tcPr>
          <w:p>
            <w:pPr>
              <w:jc w:val="center"/>
            </w:pPr>
            <w:r>
              <w:t>New York City</w:t>
            </w:r>
          </w:p>
        </w:tc>
        <w:tc>
          <w:tcPr>
            <w:tcW w:type="dxa" w:w="1417"/>
          </w:tcPr>
          <w:p>
            <w:pPr>
              <w:jc w:val="center"/>
            </w:pPr>
            <w:r>
              <w:t>90</w:t>
            </w:r>
          </w:p>
        </w:tc>
        <w:tc>
          <w:tcPr>
            <w:tcW w:type="dxa" w:w="1984"/>
          </w:tcPr>
          <w:p>
            <w:pPr>
              <w:jc w:val="center"/>
            </w:pPr>
            <w:r>
              <w:t>10.93</w:t>
            </w:r>
          </w:p>
        </w:tc>
        <w:tc>
          <w:tcPr>
            <w:tcW w:type="dxa" w:w="1984"/>
          </w:tcPr>
          <w:p>
            <w:pPr>
              <w:jc w:val="center"/>
            </w:pPr>
            <w:r>
              <w:t>9.77</w:t>
            </w:r>
          </w:p>
        </w:tc>
        <w:tc>
          <w:tcPr>
            <w:tcW w:type="dxa" w:w="2268"/>
          </w:tcPr>
          <w:p>
            <w:pPr>
              <w:jc w:val="center"/>
            </w:pPr>
            <w:r>
              <w:t>5.91</w:t>
            </w:r>
          </w:p>
        </w:tc>
      </w:tr>
    </w:tbl>
    <w:p/>
    <w:p>
      <w:r>
        <w:rPr>
          <w:b w:val="0"/>
          <w:i w:val="0"/>
        </w:rPr>
        <w:t>The P90 metric amplifies LA extremes: its standard deviation (29.17 ug/m3) is nearly 4x that of Chicago and 5x that of NYC, confirming that intra-day PM2.5 distributions on LA fire days were extremely right-skewed with very high peak concentrations.</w:t>
      </w:r>
    </w:p>
    <w:p/>
    <w:p>
      <w:pPr>
        <w:pStyle w:val="Heading2"/>
      </w:pPr>
      <w:r>
        <w:t>A3. Mean pm25_mean by (city, is_weekend) - Pandas &amp; DuckDB</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2F5496"/>
          </w:tcPr>
          <w:p>
            <w:pPr>
              <w:jc w:val="center"/>
            </w:pPr>
            <w:r>
              <w:rPr>
                <w:b/>
                <w:color w:val="FFFFFF"/>
              </w:rPr>
              <w:t>City</w:t>
            </w:r>
          </w:p>
        </w:tc>
        <w:tc>
          <w:tcPr>
            <w:tcW w:type="dxa" w:w="1984"/>
            <w:shd w:val="clear" w:color="auto" w:fill="2F5496"/>
          </w:tcPr>
          <w:p>
            <w:pPr>
              <w:jc w:val="center"/>
            </w:pPr>
            <w:r>
              <w:rPr>
                <w:b/>
                <w:color w:val="FFFFFF"/>
              </w:rPr>
              <w:t>Day Type</w:t>
            </w:r>
          </w:p>
        </w:tc>
        <w:tc>
          <w:tcPr>
            <w:tcW w:type="dxa" w:w="1417"/>
            <w:shd w:val="clear" w:color="auto" w:fill="2F5496"/>
          </w:tcPr>
          <w:p>
            <w:pPr>
              <w:jc w:val="center"/>
            </w:pPr>
            <w:r>
              <w:rPr>
                <w:b/>
                <w:color w:val="FFFFFF"/>
              </w:rPr>
              <w:t>N Days</w:t>
            </w:r>
          </w:p>
        </w:tc>
        <w:tc>
          <w:tcPr>
            <w:tcW w:type="dxa" w:w="2835"/>
            <w:shd w:val="clear" w:color="auto" w:fill="2F5496"/>
          </w:tcPr>
          <w:p>
            <w:pPr>
              <w:jc w:val="center"/>
            </w:pPr>
            <w:r>
              <w:rPr>
                <w:b/>
                <w:color w:val="FFFFFF"/>
              </w:rPr>
              <w:t>Mean PM2.5 (ug/m3)</w:t>
            </w:r>
          </w:p>
        </w:tc>
      </w:tr>
      <w:tr>
        <w:tc>
          <w:tcPr>
            <w:tcW w:type="dxa" w:w="2268"/>
          </w:tcPr>
          <w:p>
            <w:pPr>
              <w:jc w:val="center"/>
            </w:pPr>
            <w:r>
              <w:t>Chicago</w:t>
            </w:r>
          </w:p>
        </w:tc>
        <w:tc>
          <w:tcPr>
            <w:tcW w:type="dxa" w:w="1984"/>
          </w:tcPr>
          <w:p>
            <w:pPr>
              <w:jc w:val="center"/>
            </w:pPr>
            <w:r>
              <w:t>Weekday (0)</w:t>
            </w:r>
          </w:p>
        </w:tc>
        <w:tc>
          <w:tcPr>
            <w:tcW w:type="dxa" w:w="1417"/>
          </w:tcPr>
          <w:p>
            <w:pPr>
              <w:jc w:val="center"/>
            </w:pPr>
            <w:r>
              <w:t>64</w:t>
            </w:r>
          </w:p>
        </w:tc>
        <w:tc>
          <w:tcPr>
            <w:tcW w:type="dxa" w:w="2835"/>
          </w:tcPr>
          <w:p>
            <w:pPr>
              <w:jc w:val="center"/>
            </w:pPr>
            <w:r>
              <w:t>7.09</w:t>
            </w:r>
          </w:p>
        </w:tc>
      </w:tr>
      <w:tr>
        <w:tc>
          <w:tcPr>
            <w:tcW w:type="dxa" w:w="2268"/>
          </w:tcPr>
          <w:p>
            <w:pPr>
              <w:jc w:val="center"/>
            </w:pPr>
            <w:r>
              <w:t>Chicago</w:t>
            </w:r>
          </w:p>
        </w:tc>
        <w:tc>
          <w:tcPr>
            <w:tcW w:type="dxa" w:w="1984"/>
          </w:tcPr>
          <w:p>
            <w:pPr>
              <w:jc w:val="center"/>
            </w:pPr>
            <w:r>
              <w:t>Weekend (1)</w:t>
            </w:r>
          </w:p>
        </w:tc>
        <w:tc>
          <w:tcPr>
            <w:tcW w:type="dxa" w:w="1417"/>
          </w:tcPr>
          <w:p>
            <w:pPr>
              <w:jc w:val="center"/>
            </w:pPr>
            <w:r>
              <w:t>26</w:t>
            </w:r>
          </w:p>
        </w:tc>
        <w:tc>
          <w:tcPr>
            <w:tcW w:type="dxa" w:w="2835"/>
          </w:tcPr>
          <w:p>
            <w:pPr>
              <w:jc w:val="center"/>
            </w:pPr>
            <w:r>
              <w:t>7.51</w:t>
            </w:r>
          </w:p>
        </w:tc>
      </w:tr>
      <w:tr>
        <w:tc>
          <w:tcPr>
            <w:tcW w:type="dxa" w:w="2268"/>
          </w:tcPr>
          <w:p>
            <w:pPr>
              <w:jc w:val="center"/>
            </w:pPr>
            <w:r>
              <w:t>Los Angeles</w:t>
            </w:r>
          </w:p>
        </w:tc>
        <w:tc>
          <w:tcPr>
            <w:tcW w:type="dxa" w:w="1984"/>
          </w:tcPr>
          <w:p>
            <w:pPr>
              <w:jc w:val="center"/>
            </w:pPr>
            <w:r>
              <w:t>Weekday (0)</w:t>
            </w:r>
          </w:p>
        </w:tc>
        <w:tc>
          <w:tcPr>
            <w:tcW w:type="dxa" w:w="1417"/>
          </w:tcPr>
          <w:p>
            <w:pPr>
              <w:jc w:val="center"/>
            </w:pPr>
            <w:r>
              <w:t>64</w:t>
            </w:r>
          </w:p>
        </w:tc>
        <w:tc>
          <w:tcPr>
            <w:tcW w:type="dxa" w:w="2835"/>
          </w:tcPr>
          <w:p>
            <w:pPr>
              <w:jc w:val="center"/>
            </w:pPr>
            <w:r>
              <w:t>13.10</w:t>
            </w:r>
          </w:p>
        </w:tc>
      </w:tr>
      <w:tr>
        <w:tc>
          <w:tcPr>
            <w:tcW w:type="dxa" w:w="2268"/>
          </w:tcPr>
          <w:p>
            <w:pPr>
              <w:jc w:val="center"/>
            </w:pPr>
            <w:r>
              <w:t>Los Angeles</w:t>
            </w:r>
          </w:p>
        </w:tc>
        <w:tc>
          <w:tcPr>
            <w:tcW w:type="dxa" w:w="1984"/>
          </w:tcPr>
          <w:p>
            <w:pPr>
              <w:jc w:val="center"/>
            </w:pPr>
            <w:r>
              <w:t>Weekend (1)</w:t>
            </w:r>
          </w:p>
        </w:tc>
        <w:tc>
          <w:tcPr>
            <w:tcW w:type="dxa" w:w="1417"/>
          </w:tcPr>
          <w:p>
            <w:pPr>
              <w:jc w:val="center"/>
            </w:pPr>
            <w:r>
              <w:t>26</w:t>
            </w:r>
          </w:p>
        </w:tc>
        <w:tc>
          <w:tcPr>
            <w:tcW w:type="dxa" w:w="2835"/>
          </w:tcPr>
          <w:p>
            <w:pPr>
              <w:jc w:val="center"/>
            </w:pPr>
            <w:r>
              <w:t>13.34</w:t>
            </w:r>
          </w:p>
        </w:tc>
      </w:tr>
      <w:tr>
        <w:tc>
          <w:tcPr>
            <w:tcW w:type="dxa" w:w="2268"/>
          </w:tcPr>
          <w:p>
            <w:pPr>
              <w:jc w:val="center"/>
            </w:pPr>
            <w:r>
              <w:t>New York City</w:t>
            </w:r>
          </w:p>
        </w:tc>
        <w:tc>
          <w:tcPr>
            <w:tcW w:type="dxa" w:w="1984"/>
          </w:tcPr>
          <w:p>
            <w:pPr>
              <w:jc w:val="center"/>
            </w:pPr>
            <w:r>
              <w:t>Weekday (0)</w:t>
            </w:r>
          </w:p>
        </w:tc>
        <w:tc>
          <w:tcPr>
            <w:tcW w:type="dxa" w:w="1417"/>
          </w:tcPr>
          <w:p>
            <w:pPr>
              <w:jc w:val="center"/>
            </w:pPr>
            <w:r>
              <w:t>64</w:t>
            </w:r>
          </w:p>
        </w:tc>
        <w:tc>
          <w:tcPr>
            <w:tcW w:type="dxa" w:w="2835"/>
          </w:tcPr>
          <w:p>
            <w:pPr>
              <w:jc w:val="center"/>
            </w:pPr>
            <w:r>
              <w:t>7.07</w:t>
            </w:r>
          </w:p>
        </w:tc>
      </w:tr>
      <w:tr>
        <w:tc>
          <w:tcPr>
            <w:tcW w:type="dxa" w:w="2268"/>
          </w:tcPr>
          <w:p>
            <w:pPr>
              <w:jc w:val="center"/>
            </w:pPr>
            <w:r>
              <w:t>New York City</w:t>
            </w:r>
          </w:p>
        </w:tc>
        <w:tc>
          <w:tcPr>
            <w:tcW w:type="dxa" w:w="1984"/>
          </w:tcPr>
          <w:p>
            <w:pPr>
              <w:jc w:val="center"/>
            </w:pPr>
            <w:r>
              <w:t>Weekend (1)</w:t>
            </w:r>
          </w:p>
        </w:tc>
        <w:tc>
          <w:tcPr>
            <w:tcW w:type="dxa" w:w="1417"/>
          </w:tcPr>
          <w:p>
            <w:pPr>
              <w:jc w:val="center"/>
            </w:pPr>
            <w:r>
              <w:t>26</w:t>
            </w:r>
          </w:p>
        </w:tc>
        <w:tc>
          <w:tcPr>
            <w:tcW w:type="dxa" w:w="2835"/>
          </w:tcPr>
          <w:p>
            <w:pPr>
              <w:jc w:val="center"/>
            </w:pPr>
            <w:r>
              <w:t>7.27</w:t>
            </w:r>
          </w:p>
        </w:tc>
      </w:tr>
    </w:tbl>
    <w:p/>
    <w:p>
      <w:r>
        <w:rPr>
          <w:b w:val="0"/>
          <w:i w:val="0"/>
        </w:rPr>
        <w:t>Weekend PM2.5 is marginally higher than weekday PM2.5 in all three cities (+0.20 to +0.42 ug/m3). The differences are small relative to daily variability and not statistically significant at this sample size. The small weekend premium is likely driven by chance overlap of pollution episodes with weekend dates rather than a systematic pattern (e.g., the LA fire peaked on a Wednesday).</w:t>
      </w:r>
    </w:p>
    <w:p/>
    <w:p>
      <w:pPr>
        <w:pStyle w:val="Heading2"/>
      </w:pPr>
      <w:r>
        <w:t>A4. Mean pm25_mean by (city, weekday) - Pandas &amp; DuckDB</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2268"/>
            <w:shd w:val="clear" w:color="auto" w:fill="2F5496"/>
          </w:tcPr>
          <w:p>
            <w:pPr>
              <w:jc w:val="center"/>
            </w:pPr>
            <w:r>
              <w:rPr>
                <w:b/>
                <w:color w:val="FFFFFF"/>
              </w:rPr>
              <w:t>City</w:t>
            </w:r>
          </w:p>
        </w:tc>
        <w:tc>
          <w:tcPr>
            <w:tcW w:type="dxa" w:w="1247"/>
            <w:shd w:val="clear" w:color="auto" w:fill="2F5496"/>
          </w:tcPr>
          <w:p>
            <w:pPr>
              <w:jc w:val="center"/>
            </w:pPr>
            <w:r>
              <w:rPr>
                <w:b/>
                <w:color w:val="FFFFFF"/>
              </w:rPr>
              <w:t>Mon</w:t>
            </w:r>
          </w:p>
        </w:tc>
        <w:tc>
          <w:tcPr>
            <w:tcW w:type="dxa" w:w="1247"/>
            <w:shd w:val="clear" w:color="auto" w:fill="2F5496"/>
          </w:tcPr>
          <w:p>
            <w:pPr>
              <w:jc w:val="center"/>
            </w:pPr>
            <w:r>
              <w:rPr>
                <w:b/>
                <w:color w:val="FFFFFF"/>
              </w:rPr>
              <w:t>Tue</w:t>
            </w:r>
          </w:p>
        </w:tc>
        <w:tc>
          <w:tcPr>
            <w:tcW w:type="dxa" w:w="1247"/>
            <w:shd w:val="clear" w:color="auto" w:fill="2F5496"/>
          </w:tcPr>
          <w:p>
            <w:pPr>
              <w:jc w:val="center"/>
            </w:pPr>
            <w:r>
              <w:rPr>
                <w:b/>
                <w:color w:val="FFFFFF"/>
              </w:rPr>
              <w:t>Wed</w:t>
            </w:r>
          </w:p>
        </w:tc>
        <w:tc>
          <w:tcPr>
            <w:tcW w:type="dxa" w:w="1247"/>
            <w:shd w:val="clear" w:color="auto" w:fill="2F5496"/>
          </w:tcPr>
          <w:p>
            <w:pPr>
              <w:jc w:val="center"/>
            </w:pPr>
            <w:r>
              <w:rPr>
                <w:b/>
                <w:color w:val="FFFFFF"/>
              </w:rPr>
              <w:t>Thu</w:t>
            </w:r>
          </w:p>
        </w:tc>
        <w:tc>
          <w:tcPr>
            <w:tcW w:type="dxa" w:w="1247"/>
            <w:shd w:val="clear" w:color="auto" w:fill="2F5496"/>
          </w:tcPr>
          <w:p>
            <w:pPr>
              <w:jc w:val="center"/>
            </w:pPr>
            <w:r>
              <w:rPr>
                <w:b/>
                <w:color w:val="FFFFFF"/>
              </w:rPr>
              <w:t>Fri</w:t>
            </w:r>
          </w:p>
        </w:tc>
        <w:tc>
          <w:tcPr>
            <w:tcW w:type="dxa" w:w="1247"/>
            <w:shd w:val="clear" w:color="auto" w:fill="2F5496"/>
          </w:tcPr>
          <w:p>
            <w:pPr>
              <w:jc w:val="center"/>
            </w:pPr>
            <w:r>
              <w:rPr>
                <w:b/>
                <w:color w:val="FFFFFF"/>
              </w:rPr>
              <w:t>Sat</w:t>
            </w:r>
          </w:p>
        </w:tc>
        <w:tc>
          <w:tcPr>
            <w:tcW w:type="dxa" w:w="1247"/>
            <w:shd w:val="clear" w:color="auto" w:fill="2F5496"/>
          </w:tcPr>
          <w:p>
            <w:pPr>
              <w:jc w:val="center"/>
            </w:pPr>
            <w:r>
              <w:rPr>
                <w:b/>
                <w:color w:val="FFFFFF"/>
              </w:rPr>
              <w:t>Sun</w:t>
            </w:r>
          </w:p>
        </w:tc>
      </w:tr>
      <w:tr>
        <w:tc>
          <w:tcPr>
            <w:tcW w:type="dxa" w:w="2268"/>
          </w:tcPr>
          <w:p>
            <w:pPr>
              <w:jc w:val="center"/>
            </w:pPr>
            <w:r>
              <w:t>Chicago</w:t>
            </w:r>
          </w:p>
        </w:tc>
        <w:tc>
          <w:tcPr>
            <w:tcW w:type="dxa" w:w="1247"/>
          </w:tcPr>
          <w:p>
            <w:pPr>
              <w:jc w:val="center"/>
            </w:pPr>
            <w:r>
              <w:t>5.91</w:t>
            </w:r>
          </w:p>
        </w:tc>
        <w:tc>
          <w:tcPr>
            <w:tcW w:type="dxa" w:w="1247"/>
          </w:tcPr>
          <w:p>
            <w:pPr>
              <w:jc w:val="center"/>
            </w:pPr>
            <w:r>
              <w:t>5.80</w:t>
            </w:r>
          </w:p>
        </w:tc>
        <w:tc>
          <w:tcPr>
            <w:tcW w:type="dxa" w:w="1247"/>
          </w:tcPr>
          <w:p>
            <w:pPr>
              <w:jc w:val="center"/>
            </w:pPr>
            <w:r>
              <w:t>6.66</w:t>
            </w:r>
          </w:p>
        </w:tc>
        <w:tc>
          <w:tcPr>
            <w:tcW w:type="dxa" w:w="1247"/>
          </w:tcPr>
          <w:p>
            <w:pPr>
              <w:jc w:val="center"/>
            </w:pPr>
            <w:r>
              <w:t>7.88</w:t>
            </w:r>
          </w:p>
        </w:tc>
        <w:tc>
          <w:tcPr>
            <w:tcW w:type="dxa" w:w="1247"/>
          </w:tcPr>
          <w:p>
            <w:pPr>
              <w:jc w:val="center"/>
            </w:pPr>
            <w:r>
              <w:t>9.10</w:t>
            </w:r>
          </w:p>
        </w:tc>
        <w:tc>
          <w:tcPr>
            <w:tcW w:type="dxa" w:w="1247"/>
          </w:tcPr>
          <w:p>
            <w:pPr>
              <w:jc w:val="center"/>
            </w:pPr>
            <w:r>
              <w:t>8.06</w:t>
            </w:r>
          </w:p>
        </w:tc>
        <w:tc>
          <w:tcPr>
            <w:tcW w:type="dxa" w:w="1247"/>
          </w:tcPr>
          <w:p>
            <w:pPr>
              <w:jc w:val="center"/>
            </w:pPr>
            <w:r>
              <w:t>6.96</w:t>
            </w:r>
          </w:p>
        </w:tc>
      </w:tr>
      <w:tr>
        <w:tc>
          <w:tcPr>
            <w:tcW w:type="dxa" w:w="2268"/>
          </w:tcPr>
          <w:p>
            <w:pPr>
              <w:jc w:val="center"/>
            </w:pPr>
            <w:r>
              <w:t>Los Angeles</w:t>
            </w:r>
          </w:p>
        </w:tc>
        <w:tc>
          <w:tcPr>
            <w:tcW w:type="dxa" w:w="1247"/>
          </w:tcPr>
          <w:p>
            <w:pPr>
              <w:jc w:val="center"/>
            </w:pPr>
            <w:r>
              <w:t>11.39</w:t>
            </w:r>
          </w:p>
        </w:tc>
        <w:tc>
          <w:tcPr>
            <w:tcW w:type="dxa" w:w="1247"/>
          </w:tcPr>
          <w:p>
            <w:pPr>
              <w:jc w:val="center"/>
            </w:pPr>
            <w:r>
              <w:t>10.07</w:t>
            </w:r>
          </w:p>
        </w:tc>
        <w:tc>
          <w:tcPr>
            <w:tcW w:type="dxa" w:w="1247"/>
          </w:tcPr>
          <w:p>
            <w:pPr>
              <w:jc w:val="center"/>
            </w:pPr>
            <w:r>
              <w:t>18.02</w:t>
            </w:r>
          </w:p>
        </w:tc>
        <w:tc>
          <w:tcPr>
            <w:tcW w:type="dxa" w:w="1247"/>
          </w:tcPr>
          <w:p>
            <w:pPr>
              <w:jc w:val="center"/>
            </w:pPr>
            <w:r>
              <w:t>13.64</w:t>
            </w:r>
          </w:p>
        </w:tc>
        <w:tc>
          <w:tcPr>
            <w:tcW w:type="dxa" w:w="1247"/>
          </w:tcPr>
          <w:p>
            <w:pPr>
              <w:jc w:val="center"/>
            </w:pPr>
            <w:r>
              <w:t>12.18</w:t>
            </w:r>
          </w:p>
        </w:tc>
        <w:tc>
          <w:tcPr>
            <w:tcW w:type="dxa" w:w="1247"/>
          </w:tcPr>
          <w:p>
            <w:pPr>
              <w:jc w:val="center"/>
            </w:pPr>
            <w:r>
              <w:t>15.06</w:t>
            </w:r>
          </w:p>
        </w:tc>
        <w:tc>
          <w:tcPr>
            <w:tcW w:type="dxa" w:w="1247"/>
          </w:tcPr>
          <w:p>
            <w:pPr>
              <w:jc w:val="center"/>
            </w:pPr>
            <w:r>
              <w:t>11.62</w:t>
            </w:r>
          </w:p>
        </w:tc>
      </w:tr>
      <w:tr>
        <w:tc>
          <w:tcPr>
            <w:tcW w:type="dxa" w:w="2268"/>
          </w:tcPr>
          <w:p>
            <w:pPr>
              <w:jc w:val="center"/>
            </w:pPr>
            <w:r>
              <w:t>New York City</w:t>
            </w:r>
          </w:p>
        </w:tc>
        <w:tc>
          <w:tcPr>
            <w:tcW w:type="dxa" w:w="1247"/>
          </w:tcPr>
          <w:p>
            <w:pPr>
              <w:jc w:val="center"/>
            </w:pPr>
            <w:r>
              <w:t>8.67</w:t>
            </w:r>
          </w:p>
        </w:tc>
        <w:tc>
          <w:tcPr>
            <w:tcW w:type="dxa" w:w="1247"/>
          </w:tcPr>
          <w:p>
            <w:pPr>
              <w:jc w:val="center"/>
            </w:pPr>
            <w:r>
              <w:t>6.58</w:t>
            </w:r>
          </w:p>
        </w:tc>
        <w:tc>
          <w:tcPr>
            <w:tcW w:type="dxa" w:w="1247"/>
          </w:tcPr>
          <w:p>
            <w:pPr>
              <w:jc w:val="center"/>
            </w:pPr>
            <w:r>
              <w:t>5.94</w:t>
            </w:r>
          </w:p>
        </w:tc>
        <w:tc>
          <w:tcPr>
            <w:tcW w:type="dxa" w:w="1247"/>
          </w:tcPr>
          <w:p>
            <w:pPr>
              <w:jc w:val="center"/>
            </w:pPr>
            <w:r>
              <w:t>6.66</w:t>
            </w:r>
          </w:p>
        </w:tc>
        <w:tc>
          <w:tcPr>
            <w:tcW w:type="dxa" w:w="1247"/>
          </w:tcPr>
          <w:p>
            <w:pPr>
              <w:jc w:val="center"/>
            </w:pPr>
            <w:r>
              <w:t>7.44</w:t>
            </w:r>
          </w:p>
        </w:tc>
        <w:tc>
          <w:tcPr>
            <w:tcW w:type="dxa" w:w="1247"/>
          </w:tcPr>
          <w:p>
            <w:pPr>
              <w:jc w:val="center"/>
            </w:pPr>
            <w:r>
              <w:t>6.97</w:t>
            </w:r>
          </w:p>
        </w:tc>
        <w:tc>
          <w:tcPr>
            <w:tcW w:type="dxa" w:w="1247"/>
          </w:tcPr>
          <w:p>
            <w:pPr>
              <w:jc w:val="center"/>
            </w:pPr>
            <w:r>
              <w:t>7.56</w:t>
            </w:r>
          </w:p>
        </w:tc>
      </w:tr>
    </w:tbl>
    <w:p/>
    <w:p>
      <w:r>
        <w:rPr>
          <w:b w:val="0"/>
          <w:i w:val="0"/>
        </w:rPr>
        <w:t>LA shows a Wednesday spike (18.02 ug/m3) because the Palisades fire peaked on a Wednesday. Chicago Friday is elevated (9.10 ug/m3) partly because the late-March burn event occurred on a Saturday, elevating the adjacent Friday average. These day-of-week patterns reflect episode timing rather than a structural weekly pollution cycle.</w:t>
      </w:r>
    </w:p>
    <w:p/>
    <w:p>
      <w:pPr>
        <w:pStyle w:val="Heading2"/>
      </w:pPr>
      <w:r>
        <w:t>B1. Rolling 7-Day Mean of pm25_mean per City (Pandas)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417"/>
            <w:shd w:val="clear" w:color="auto" w:fill="2F5496"/>
          </w:tcPr>
          <w:p>
            <w:pPr>
              <w:jc w:val="center"/>
            </w:pPr>
            <w:r>
              <w:rPr>
                <w:b/>
                <w:color w:val="FFFFFF"/>
              </w:rPr>
              <w:t>Date</w:t>
            </w:r>
          </w:p>
        </w:tc>
        <w:tc>
          <w:tcPr>
            <w:tcW w:type="dxa" w:w="1417"/>
            <w:shd w:val="clear" w:color="auto" w:fill="2F5496"/>
          </w:tcPr>
          <w:p>
            <w:pPr>
              <w:jc w:val="center"/>
            </w:pPr>
            <w:r>
              <w:rPr>
                <w:b/>
                <w:color w:val="FFFFFF"/>
              </w:rPr>
              <w:t>CHI pm25</w:t>
            </w:r>
          </w:p>
        </w:tc>
        <w:tc>
          <w:tcPr>
            <w:tcW w:type="dxa" w:w="1417"/>
            <w:shd w:val="clear" w:color="auto" w:fill="2F5496"/>
          </w:tcPr>
          <w:p>
            <w:pPr>
              <w:jc w:val="center"/>
            </w:pPr>
            <w:r>
              <w:rPr>
                <w:b/>
                <w:color w:val="FFFFFF"/>
              </w:rPr>
              <w:t>CHI Roll-7</w:t>
            </w:r>
          </w:p>
        </w:tc>
        <w:tc>
          <w:tcPr>
            <w:tcW w:type="dxa" w:w="1417"/>
            <w:shd w:val="clear" w:color="auto" w:fill="2F5496"/>
          </w:tcPr>
          <w:p>
            <w:pPr>
              <w:jc w:val="center"/>
            </w:pPr>
            <w:r>
              <w:rPr>
                <w:b/>
                <w:color w:val="FFFFFF"/>
              </w:rPr>
              <w:t>LA pm25</w:t>
            </w:r>
          </w:p>
        </w:tc>
        <w:tc>
          <w:tcPr>
            <w:tcW w:type="dxa" w:w="1417"/>
            <w:shd w:val="clear" w:color="auto" w:fill="2F5496"/>
          </w:tcPr>
          <w:p>
            <w:pPr>
              <w:jc w:val="center"/>
            </w:pPr>
            <w:r>
              <w:rPr>
                <w:b/>
                <w:color w:val="FFFFFF"/>
              </w:rPr>
              <w:t>LA Roll-7</w:t>
            </w:r>
          </w:p>
        </w:tc>
        <w:tc>
          <w:tcPr>
            <w:tcW w:type="dxa" w:w="1417"/>
            <w:shd w:val="clear" w:color="auto" w:fill="2F5496"/>
          </w:tcPr>
          <w:p>
            <w:pPr>
              <w:jc w:val="center"/>
            </w:pPr>
            <w:r>
              <w:rPr>
                <w:b/>
                <w:color w:val="FFFFFF"/>
              </w:rPr>
              <w:t>NYC pm25</w:t>
            </w:r>
          </w:p>
        </w:tc>
        <w:tc>
          <w:tcPr>
            <w:tcW w:type="dxa" w:w="1417"/>
            <w:shd w:val="clear" w:color="auto" w:fill="2F5496"/>
          </w:tcPr>
          <w:p>
            <w:pPr>
              <w:jc w:val="center"/>
            </w:pPr>
            <w:r>
              <w:rPr>
                <w:b/>
                <w:color w:val="FFFFFF"/>
              </w:rPr>
              <w:t>NYC Roll-7</w:t>
            </w:r>
          </w:p>
        </w:tc>
      </w:tr>
      <w:tr>
        <w:tc>
          <w:tcPr>
            <w:tcW w:type="dxa" w:w="1417"/>
          </w:tcPr>
          <w:p>
            <w:pPr>
              <w:jc w:val="center"/>
            </w:pPr>
            <w:r>
              <w:t>Jan 01</w:t>
            </w:r>
          </w:p>
        </w:tc>
        <w:tc>
          <w:tcPr>
            <w:tcW w:type="dxa" w:w="1417"/>
          </w:tcPr>
          <w:p>
            <w:pPr>
              <w:jc w:val="center"/>
            </w:pPr>
            <w:r>
              <w:t>4.94</w:t>
            </w:r>
          </w:p>
        </w:tc>
        <w:tc>
          <w:tcPr>
            <w:tcW w:type="dxa" w:w="1417"/>
          </w:tcPr>
          <w:p>
            <w:pPr>
              <w:jc w:val="center"/>
            </w:pPr>
            <w:r>
              <w:t>4.94</w:t>
            </w:r>
          </w:p>
        </w:tc>
        <w:tc>
          <w:tcPr>
            <w:tcW w:type="dxa" w:w="1417"/>
          </w:tcPr>
          <w:p>
            <w:pPr>
              <w:jc w:val="center"/>
            </w:pPr>
            <w:r>
              <w:t>28.33</w:t>
            </w:r>
          </w:p>
        </w:tc>
        <w:tc>
          <w:tcPr>
            <w:tcW w:type="dxa" w:w="1417"/>
          </w:tcPr>
          <w:p>
            <w:pPr>
              <w:jc w:val="center"/>
            </w:pPr>
            <w:r>
              <w:t>28.33</w:t>
            </w:r>
          </w:p>
        </w:tc>
        <w:tc>
          <w:tcPr>
            <w:tcW w:type="dxa" w:w="1417"/>
          </w:tcPr>
          <w:p>
            <w:pPr>
              <w:jc w:val="center"/>
            </w:pPr>
            <w:r>
              <w:t>6.59</w:t>
            </w:r>
          </w:p>
        </w:tc>
        <w:tc>
          <w:tcPr>
            <w:tcW w:type="dxa" w:w="1417"/>
          </w:tcPr>
          <w:p>
            <w:pPr>
              <w:jc w:val="center"/>
            </w:pPr>
            <w:r>
              <w:t>6.59</w:t>
            </w:r>
          </w:p>
        </w:tc>
      </w:tr>
      <w:tr>
        <w:tc>
          <w:tcPr>
            <w:tcW w:type="dxa" w:w="1417"/>
          </w:tcPr>
          <w:p>
            <w:pPr>
              <w:jc w:val="center"/>
            </w:pPr>
            <w:r>
              <w:t>Jan 02</w:t>
            </w:r>
          </w:p>
        </w:tc>
        <w:tc>
          <w:tcPr>
            <w:tcW w:type="dxa" w:w="1417"/>
          </w:tcPr>
          <w:p>
            <w:pPr>
              <w:jc w:val="center"/>
            </w:pPr>
            <w:r>
              <w:t>4.66</w:t>
            </w:r>
          </w:p>
        </w:tc>
        <w:tc>
          <w:tcPr>
            <w:tcW w:type="dxa" w:w="1417"/>
          </w:tcPr>
          <w:p>
            <w:pPr>
              <w:jc w:val="center"/>
            </w:pPr>
            <w:r>
              <w:t>4.80</w:t>
            </w:r>
          </w:p>
        </w:tc>
        <w:tc>
          <w:tcPr>
            <w:tcW w:type="dxa" w:w="1417"/>
          </w:tcPr>
          <w:p>
            <w:pPr>
              <w:jc w:val="center"/>
            </w:pPr>
            <w:r>
              <w:t>26.99</w:t>
            </w:r>
          </w:p>
        </w:tc>
        <w:tc>
          <w:tcPr>
            <w:tcW w:type="dxa" w:w="1417"/>
          </w:tcPr>
          <w:p>
            <w:pPr>
              <w:jc w:val="center"/>
            </w:pPr>
            <w:r>
              <w:t>27.66</w:t>
            </w:r>
          </w:p>
        </w:tc>
        <w:tc>
          <w:tcPr>
            <w:tcW w:type="dxa" w:w="1417"/>
          </w:tcPr>
          <w:p>
            <w:pPr>
              <w:jc w:val="center"/>
            </w:pPr>
            <w:r>
              <w:t>2.83</w:t>
            </w:r>
          </w:p>
        </w:tc>
        <w:tc>
          <w:tcPr>
            <w:tcW w:type="dxa" w:w="1417"/>
          </w:tcPr>
          <w:p>
            <w:pPr>
              <w:jc w:val="center"/>
            </w:pPr>
            <w:r>
              <w:t>4.71</w:t>
            </w:r>
          </w:p>
        </w:tc>
      </w:tr>
      <w:tr>
        <w:tc>
          <w:tcPr>
            <w:tcW w:type="dxa" w:w="1417"/>
          </w:tcPr>
          <w:p>
            <w:pPr>
              <w:jc w:val="center"/>
            </w:pPr>
            <w:r>
              <w:t>Jan 03</w:t>
            </w:r>
          </w:p>
        </w:tc>
        <w:tc>
          <w:tcPr>
            <w:tcW w:type="dxa" w:w="1417"/>
          </w:tcPr>
          <w:p>
            <w:pPr>
              <w:jc w:val="center"/>
            </w:pPr>
            <w:r>
              <w:t>5.73</w:t>
            </w:r>
          </w:p>
        </w:tc>
        <w:tc>
          <w:tcPr>
            <w:tcW w:type="dxa" w:w="1417"/>
          </w:tcPr>
          <w:p>
            <w:pPr>
              <w:jc w:val="center"/>
            </w:pPr>
            <w:r>
              <w:t>5.11</w:t>
            </w:r>
          </w:p>
        </w:tc>
        <w:tc>
          <w:tcPr>
            <w:tcW w:type="dxa" w:w="1417"/>
          </w:tcPr>
          <w:p>
            <w:pPr>
              <w:jc w:val="center"/>
            </w:pPr>
            <w:r>
              <w:t>29.41</w:t>
            </w:r>
          </w:p>
        </w:tc>
        <w:tc>
          <w:tcPr>
            <w:tcW w:type="dxa" w:w="1417"/>
          </w:tcPr>
          <w:p>
            <w:pPr>
              <w:jc w:val="center"/>
            </w:pPr>
            <w:r>
              <w:t>28.24</w:t>
            </w:r>
          </w:p>
        </w:tc>
        <w:tc>
          <w:tcPr>
            <w:tcW w:type="dxa" w:w="1417"/>
          </w:tcPr>
          <w:p>
            <w:pPr>
              <w:jc w:val="center"/>
            </w:pPr>
            <w:r>
              <w:t>5.85</w:t>
            </w:r>
          </w:p>
        </w:tc>
        <w:tc>
          <w:tcPr>
            <w:tcW w:type="dxa" w:w="1417"/>
          </w:tcPr>
          <w:p>
            <w:pPr>
              <w:jc w:val="center"/>
            </w:pPr>
            <w:r>
              <w:t>5.09</w:t>
            </w:r>
          </w:p>
        </w:tc>
      </w:tr>
      <w:tr>
        <w:tc>
          <w:tcPr>
            <w:tcW w:type="dxa" w:w="1417"/>
          </w:tcPr>
          <w:p>
            <w:pPr>
              <w:jc w:val="center"/>
            </w:pPr>
            <w:r>
              <w:t>Jan 04</w:t>
            </w:r>
          </w:p>
        </w:tc>
        <w:tc>
          <w:tcPr>
            <w:tcW w:type="dxa" w:w="1417"/>
          </w:tcPr>
          <w:p>
            <w:pPr>
              <w:jc w:val="center"/>
            </w:pPr>
            <w:r>
              <w:t>3.66</w:t>
            </w:r>
          </w:p>
        </w:tc>
        <w:tc>
          <w:tcPr>
            <w:tcW w:type="dxa" w:w="1417"/>
          </w:tcPr>
          <w:p>
            <w:pPr>
              <w:jc w:val="center"/>
            </w:pPr>
            <w:r>
              <w:t>4.75</w:t>
            </w:r>
          </w:p>
        </w:tc>
        <w:tc>
          <w:tcPr>
            <w:tcW w:type="dxa" w:w="1417"/>
          </w:tcPr>
          <w:p>
            <w:pPr>
              <w:jc w:val="center"/>
            </w:pPr>
            <w:r>
              <w:t>3.63</w:t>
            </w:r>
          </w:p>
        </w:tc>
        <w:tc>
          <w:tcPr>
            <w:tcW w:type="dxa" w:w="1417"/>
          </w:tcPr>
          <w:p>
            <w:pPr>
              <w:jc w:val="center"/>
            </w:pPr>
            <w:r>
              <w:t>22.09</w:t>
            </w:r>
          </w:p>
        </w:tc>
        <w:tc>
          <w:tcPr>
            <w:tcW w:type="dxa" w:w="1417"/>
          </w:tcPr>
          <w:p>
            <w:pPr>
              <w:jc w:val="center"/>
            </w:pPr>
            <w:r>
              <w:t>2.03</w:t>
            </w:r>
          </w:p>
        </w:tc>
        <w:tc>
          <w:tcPr>
            <w:tcW w:type="dxa" w:w="1417"/>
          </w:tcPr>
          <w:p>
            <w:pPr>
              <w:jc w:val="center"/>
            </w:pPr>
            <w:r>
              <w:t>4.33</w:t>
            </w:r>
          </w:p>
        </w:tc>
      </w:tr>
      <w:tr>
        <w:tc>
          <w:tcPr>
            <w:tcW w:type="dxa" w:w="1417"/>
          </w:tcPr>
          <w:p>
            <w:pPr>
              <w:jc w:val="center"/>
            </w:pPr>
            <w:r>
              <w:t>Jan 05</w:t>
            </w:r>
          </w:p>
        </w:tc>
        <w:tc>
          <w:tcPr>
            <w:tcW w:type="dxa" w:w="1417"/>
          </w:tcPr>
          <w:p>
            <w:pPr>
              <w:jc w:val="center"/>
            </w:pPr>
            <w:r>
              <w:t>3.44</w:t>
            </w:r>
          </w:p>
        </w:tc>
        <w:tc>
          <w:tcPr>
            <w:tcW w:type="dxa" w:w="1417"/>
          </w:tcPr>
          <w:p>
            <w:pPr>
              <w:jc w:val="center"/>
            </w:pPr>
            <w:r>
              <w:t>4.49</w:t>
            </w:r>
          </w:p>
        </w:tc>
        <w:tc>
          <w:tcPr>
            <w:tcW w:type="dxa" w:w="1417"/>
          </w:tcPr>
          <w:p>
            <w:pPr>
              <w:jc w:val="center"/>
            </w:pPr>
            <w:r>
              <w:t>4.72</w:t>
            </w:r>
          </w:p>
        </w:tc>
        <w:tc>
          <w:tcPr>
            <w:tcW w:type="dxa" w:w="1417"/>
          </w:tcPr>
          <w:p>
            <w:pPr>
              <w:jc w:val="center"/>
            </w:pPr>
            <w:r>
              <w:t>18.62</w:t>
            </w:r>
          </w:p>
        </w:tc>
        <w:tc>
          <w:tcPr>
            <w:tcW w:type="dxa" w:w="1417"/>
          </w:tcPr>
          <w:p>
            <w:pPr>
              <w:jc w:val="center"/>
            </w:pPr>
            <w:r>
              <w:t>3.69</w:t>
            </w:r>
          </w:p>
        </w:tc>
        <w:tc>
          <w:tcPr>
            <w:tcW w:type="dxa" w:w="1417"/>
          </w:tcPr>
          <w:p>
            <w:pPr>
              <w:jc w:val="center"/>
            </w:pPr>
            <w:r>
              <w:t>4.20</w:t>
            </w:r>
          </w:p>
        </w:tc>
      </w:tr>
      <w:tr>
        <w:tc>
          <w:tcPr>
            <w:tcW w:type="dxa" w:w="1417"/>
          </w:tcPr>
          <w:p>
            <w:pPr>
              <w:jc w:val="center"/>
            </w:pPr>
            <w:r>
              <w:t>Jan 06</w:t>
            </w:r>
          </w:p>
        </w:tc>
        <w:tc>
          <w:tcPr>
            <w:tcW w:type="dxa" w:w="1417"/>
          </w:tcPr>
          <w:p>
            <w:pPr>
              <w:jc w:val="center"/>
            </w:pPr>
            <w:r>
              <w:t>2.31</w:t>
            </w:r>
          </w:p>
        </w:tc>
        <w:tc>
          <w:tcPr>
            <w:tcW w:type="dxa" w:w="1417"/>
          </w:tcPr>
          <w:p>
            <w:pPr>
              <w:jc w:val="center"/>
            </w:pPr>
            <w:r>
              <w:t>4.12</w:t>
            </w:r>
          </w:p>
        </w:tc>
        <w:tc>
          <w:tcPr>
            <w:tcW w:type="dxa" w:w="1417"/>
          </w:tcPr>
          <w:p>
            <w:pPr>
              <w:jc w:val="center"/>
            </w:pPr>
            <w:r>
              <w:t>4.34</w:t>
            </w:r>
          </w:p>
        </w:tc>
        <w:tc>
          <w:tcPr>
            <w:tcW w:type="dxa" w:w="1417"/>
          </w:tcPr>
          <w:p>
            <w:pPr>
              <w:jc w:val="center"/>
            </w:pPr>
            <w:r>
              <w:t>16.24</w:t>
            </w:r>
          </w:p>
        </w:tc>
        <w:tc>
          <w:tcPr>
            <w:tcW w:type="dxa" w:w="1417"/>
          </w:tcPr>
          <w:p>
            <w:pPr>
              <w:jc w:val="center"/>
            </w:pPr>
            <w:r>
              <w:t>5.34</w:t>
            </w:r>
          </w:p>
        </w:tc>
        <w:tc>
          <w:tcPr>
            <w:tcW w:type="dxa" w:w="1417"/>
          </w:tcPr>
          <w:p>
            <w:pPr>
              <w:jc w:val="center"/>
            </w:pPr>
            <w:r>
              <w:t>4.39</w:t>
            </w:r>
          </w:p>
        </w:tc>
      </w:tr>
      <w:tr>
        <w:tc>
          <w:tcPr>
            <w:tcW w:type="dxa" w:w="1417"/>
          </w:tcPr>
          <w:p>
            <w:pPr>
              <w:jc w:val="center"/>
            </w:pPr>
            <w:r>
              <w:t>Jan 07</w:t>
            </w:r>
          </w:p>
        </w:tc>
        <w:tc>
          <w:tcPr>
            <w:tcW w:type="dxa" w:w="1417"/>
          </w:tcPr>
          <w:p>
            <w:pPr>
              <w:jc w:val="center"/>
            </w:pPr>
            <w:r>
              <w:t>4.37</w:t>
            </w:r>
          </w:p>
        </w:tc>
        <w:tc>
          <w:tcPr>
            <w:tcW w:type="dxa" w:w="1417"/>
          </w:tcPr>
          <w:p>
            <w:pPr>
              <w:jc w:val="center"/>
            </w:pPr>
            <w:r>
              <w:t>4.16</w:t>
            </w:r>
          </w:p>
        </w:tc>
        <w:tc>
          <w:tcPr>
            <w:tcW w:type="dxa" w:w="1417"/>
          </w:tcPr>
          <w:p>
            <w:pPr>
              <w:jc w:val="center"/>
            </w:pPr>
            <w:r>
              <w:t>91.26</w:t>
            </w:r>
          </w:p>
        </w:tc>
        <w:tc>
          <w:tcPr>
            <w:tcW w:type="dxa" w:w="1417"/>
          </w:tcPr>
          <w:p>
            <w:pPr>
              <w:jc w:val="center"/>
            </w:pPr>
            <w:r>
              <w:t>27.10</w:t>
            </w:r>
          </w:p>
        </w:tc>
        <w:tc>
          <w:tcPr>
            <w:tcW w:type="dxa" w:w="1417"/>
          </w:tcPr>
          <w:p>
            <w:pPr>
              <w:jc w:val="center"/>
            </w:pPr>
            <w:r>
              <w:t>5.22</w:t>
            </w:r>
          </w:p>
        </w:tc>
        <w:tc>
          <w:tcPr>
            <w:tcW w:type="dxa" w:w="1417"/>
          </w:tcPr>
          <w:p>
            <w:pPr>
              <w:jc w:val="center"/>
            </w:pPr>
            <w:r>
              <w:t>4.51</w:t>
            </w:r>
          </w:p>
        </w:tc>
      </w:tr>
    </w:tbl>
    <w:p/>
    <w:p>
      <w:r>
        <w:rPr>
          <w:b w:val="0"/>
          <w:i w:val="0"/>
        </w:rPr>
        <w:t>The rolling mean smooths day-to-day noise: LA roll-7 spikes steeply in early January then declines gradually as the fire smoke dissipated. Chicago and NYC rolling means show gradual seasonal changes without abrupt jumps. The full rolling series is plotted in Figure 1 with thick lines.</w:t>
      </w:r>
    </w:p>
    <w:p/>
    <w:p>
      <w:pPr>
        <w:pStyle w:val="Heading2"/>
      </w:pPr>
      <w:r>
        <w:t>B2. Day-over-Day Difference and Percent Change (Pandas)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2F5496"/>
          </w:tcPr>
          <w:p>
            <w:pPr>
              <w:jc w:val="center"/>
            </w:pPr>
            <w:r>
              <w:rPr>
                <w:b/>
                <w:color w:val="FFFFFF"/>
              </w:rPr>
              <w:t>City</w:t>
            </w:r>
          </w:p>
        </w:tc>
        <w:tc>
          <w:tcPr>
            <w:tcW w:type="dxa" w:w="2268"/>
            <w:shd w:val="clear" w:color="auto" w:fill="2F5496"/>
          </w:tcPr>
          <w:p>
            <w:pPr>
              <w:jc w:val="center"/>
            </w:pPr>
            <w:r>
              <w:rPr>
                <w:b/>
                <w:color w:val="FFFFFF"/>
              </w:rPr>
              <w:t>Metric</w:t>
            </w:r>
          </w:p>
        </w:tc>
        <w:tc>
          <w:tcPr>
            <w:tcW w:type="dxa" w:w="1134"/>
            <w:shd w:val="clear" w:color="auto" w:fill="2F5496"/>
          </w:tcPr>
          <w:p>
            <w:pPr>
              <w:jc w:val="center"/>
            </w:pPr>
            <w:r>
              <w:rPr>
                <w:b/>
                <w:color w:val="FFFFFF"/>
              </w:rPr>
              <w:t>Mean</w:t>
            </w:r>
          </w:p>
        </w:tc>
        <w:tc>
          <w:tcPr>
            <w:tcW w:type="dxa" w:w="1417"/>
            <w:shd w:val="clear" w:color="auto" w:fill="2F5496"/>
          </w:tcPr>
          <w:p>
            <w:pPr>
              <w:jc w:val="center"/>
            </w:pPr>
            <w:r>
              <w:rPr>
                <w:b/>
                <w:color w:val="FFFFFF"/>
              </w:rPr>
              <w:t>Std Dev</w:t>
            </w:r>
          </w:p>
        </w:tc>
        <w:tc>
          <w:tcPr>
            <w:tcW w:type="dxa" w:w="1417"/>
            <w:shd w:val="clear" w:color="auto" w:fill="2F5496"/>
          </w:tcPr>
          <w:p>
            <w:pPr>
              <w:jc w:val="center"/>
            </w:pPr>
            <w:r>
              <w:rPr>
                <w:b/>
                <w:color w:val="FFFFFF"/>
              </w:rPr>
              <w:t>Min</w:t>
            </w:r>
          </w:p>
        </w:tc>
        <w:tc>
          <w:tcPr>
            <w:tcW w:type="dxa" w:w="1417"/>
            <w:shd w:val="clear" w:color="auto" w:fill="2F5496"/>
          </w:tcPr>
          <w:p>
            <w:pPr>
              <w:jc w:val="center"/>
            </w:pPr>
            <w:r>
              <w:rPr>
                <w:b/>
                <w:color w:val="FFFFFF"/>
              </w:rPr>
              <w:t>Max</w:t>
            </w:r>
          </w:p>
        </w:tc>
      </w:tr>
      <w:tr>
        <w:tc>
          <w:tcPr>
            <w:tcW w:type="dxa" w:w="1984"/>
          </w:tcPr>
          <w:p>
            <w:pPr>
              <w:jc w:val="center"/>
            </w:pPr>
            <w:r>
              <w:t>Chicago</w:t>
            </w:r>
          </w:p>
        </w:tc>
        <w:tc>
          <w:tcPr>
            <w:tcW w:type="dxa" w:w="2268"/>
          </w:tcPr>
          <w:p>
            <w:pPr>
              <w:jc w:val="center"/>
            </w:pPr>
            <w:r>
              <w:t>DoD Diff (ug/m3)</w:t>
            </w:r>
          </w:p>
        </w:tc>
        <w:tc>
          <w:tcPr>
            <w:tcW w:type="dxa" w:w="1134"/>
          </w:tcPr>
          <w:p>
            <w:pPr>
              <w:jc w:val="center"/>
            </w:pPr>
            <w:r>
              <w:t>-0.02</w:t>
            </w:r>
          </w:p>
        </w:tc>
        <w:tc>
          <w:tcPr>
            <w:tcW w:type="dxa" w:w="1417"/>
          </w:tcPr>
          <w:p>
            <w:pPr>
              <w:jc w:val="center"/>
            </w:pPr>
            <w:r>
              <w:t>4.54</w:t>
            </w:r>
          </w:p>
        </w:tc>
        <w:tc>
          <w:tcPr>
            <w:tcW w:type="dxa" w:w="1417"/>
          </w:tcPr>
          <w:p>
            <w:pPr>
              <w:jc w:val="center"/>
            </w:pPr>
            <w:r>
              <w:t>-22.72</w:t>
            </w:r>
          </w:p>
        </w:tc>
        <w:tc>
          <w:tcPr>
            <w:tcW w:type="dxa" w:w="1417"/>
          </w:tcPr>
          <w:p>
            <w:pPr>
              <w:jc w:val="center"/>
            </w:pPr>
            <w:r>
              <w:t>+14.66</w:t>
            </w:r>
          </w:p>
        </w:tc>
      </w:tr>
      <w:tr>
        <w:tc>
          <w:tcPr>
            <w:tcW w:type="dxa" w:w="1984"/>
          </w:tcPr>
          <w:p>
            <w:pPr>
              <w:jc w:val="center"/>
            </w:pPr>
            <w:r>
              <w:t>Chicago</w:t>
            </w:r>
          </w:p>
        </w:tc>
        <w:tc>
          <w:tcPr>
            <w:tcW w:type="dxa" w:w="2268"/>
          </w:tcPr>
          <w:p>
            <w:pPr>
              <w:jc w:val="center"/>
            </w:pPr>
            <w:r>
              <w:t>DoD Pct Change (%)</w:t>
            </w:r>
          </w:p>
        </w:tc>
        <w:tc>
          <w:tcPr>
            <w:tcW w:type="dxa" w:w="1134"/>
          </w:tcPr>
          <w:p>
            <w:pPr>
              <w:jc w:val="center"/>
            </w:pPr>
            <w:r>
              <w:t>+12.7</w:t>
            </w:r>
          </w:p>
        </w:tc>
        <w:tc>
          <w:tcPr>
            <w:tcW w:type="dxa" w:w="1417"/>
          </w:tcPr>
          <w:p>
            <w:pPr>
              <w:jc w:val="center"/>
            </w:pPr>
            <w:r>
              <w:t>59.9</w:t>
            </w:r>
          </w:p>
        </w:tc>
        <w:tc>
          <w:tcPr>
            <w:tcW w:type="dxa" w:w="1417"/>
          </w:tcPr>
          <w:p>
            <w:pPr>
              <w:jc w:val="center"/>
            </w:pPr>
            <w:r>
              <w:t>-82.6%</w:t>
            </w:r>
          </w:p>
        </w:tc>
        <w:tc>
          <w:tcPr>
            <w:tcW w:type="dxa" w:w="1417"/>
          </w:tcPr>
          <w:p>
            <w:pPr>
              <w:jc w:val="center"/>
            </w:pPr>
            <w:r>
              <w:t>+309%</w:t>
            </w:r>
          </w:p>
        </w:tc>
      </w:tr>
      <w:tr>
        <w:tc>
          <w:tcPr>
            <w:tcW w:type="dxa" w:w="1984"/>
          </w:tcPr>
          <w:p>
            <w:pPr>
              <w:jc w:val="center"/>
            </w:pPr>
            <w:r>
              <w:t>Los Angeles</w:t>
            </w:r>
          </w:p>
        </w:tc>
        <w:tc>
          <w:tcPr>
            <w:tcW w:type="dxa" w:w="2268"/>
          </w:tcPr>
          <w:p>
            <w:pPr>
              <w:jc w:val="center"/>
            </w:pPr>
            <w:r>
              <w:t>DoD Diff (ug/m3)</w:t>
            </w:r>
          </w:p>
        </w:tc>
        <w:tc>
          <w:tcPr>
            <w:tcW w:type="dxa" w:w="1134"/>
          </w:tcPr>
          <w:p>
            <w:pPr>
              <w:jc w:val="center"/>
            </w:pPr>
            <w:r>
              <w:t>-0.24</w:t>
            </w:r>
          </w:p>
        </w:tc>
        <w:tc>
          <w:tcPr>
            <w:tcW w:type="dxa" w:w="1417"/>
          </w:tcPr>
          <w:p>
            <w:pPr>
              <w:jc w:val="center"/>
            </w:pPr>
            <w:r>
              <w:t>11.41</w:t>
            </w:r>
          </w:p>
        </w:tc>
        <w:tc>
          <w:tcPr>
            <w:tcW w:type="dxa" w:w="1417"/>
          </w:tcPr>
          <w:p>
            <w:pPr>
              <w:jc w:val="center"/>
            </w:pPr>
            <w:r>
              <w:t>-38.0</w:t>
            </w:r>
          </w:p>
        </w:tc>
        <w:tc>
          <w:tcPr>
            <w:tcW w:type="dxa" w:w="1417"/>
          </w:tcPr>
          <w:p>
            <w:pPr>
              <w:jc w:val="center"/>
            </w:pPr>
            <w:r>
              <w:t>+81.6</w:t>
            </w:r>
          </w:p>
        </w:tc>
      </w:tr>
      <w:tr>
        <w:tc>
          <w:tcPr>
            <w:tcW w:type="dxa" w:w="1984"/>
          </w:tcPr>
          <w:p>
            <w:pPr>
              <w:jc w:val="center"/>
            </w:pPr>
            <w:r>
              <w:t>Los Angeles</w:t>
            </w:r>
          </w:p>
        </w:tc>
        <w:tc>
          <w:tcPr>
            <w:tcW w:type="dxa" w:w="2268"/>
          </w:tcPr>
          <w:p>
            <w:pPr>
              <w:jc w:val="center"/>
            </w:pPr>
            <w:r>
              <w:t>DoD Pct Change (%)</w:t>
            </w:r>
          </w:p>
        </w:tc>
        <w:tc>
          <w:tcPr>
            <w:tcW w:type="dxa" w:w="1134"/>
          </w:tcPr>
          <w:p>
            <w:pPr>
              <w:jc w:val="center"/>
            </w:pPr>
            <w:r>
              <w:t>+13.4</w:t>
            </w:r>
          </w:p>
        </w:tc>
        <w:tc>
          <w:tcPr>
            <w:tcW w:type="dxa" w:w="1417"/>
          </w:tcPr>
          <w:p>
            <w:pPr>
              <w:jc w:val="center"/>
            </w:pPr>
            <w:r>
              <w:t>96.9</w:t>
            </w:r>
          </w:p>
        </w:tc>
        <w:tc>
          <w:tcPr>
            <w:tcW w:type="dxa" w:w="1417"/>
          </w:tcPr>
          <w:p>
            <w:pPr>
              <w:jc w:val="center"/>
            </w:pPr>
            <w:r>
              <w:t>-81.4%</w:t>
            </w:r>
          </w:p>
        </w:tc>
        <w:tc>
          <w:tcPr>
            <w:tcW w:type="dxa" w:w="1417"/>
          </w:tcPr>
          <w:p>
            <w:pPr>
              <w:jc w:val="center"/>
            </w:pPr>
            <w:r>
              <w:t>+840%</w:t>
            </w:r>
          </w:p>
        </w:tc>
      </w:tr>
      <w:tr>
        <w:tc>
          <w:tcPr>
            <w:tcW w:type="dxa" w:w="1984"/>
          </w:tcPr>
          <w:p>
            <w:pPr>
              <w:jc w:val="center"/>
            </w:pPr>
            <w:r>
              <w:t>New York City</w:t>
            </w:r>
          </w:p>
        </w:tc>
        <w:tc>
          <w:tcPr>
            <w:tcW w:type="dxa" w:w="2268"/>
          </w:tcPr>
          <w:p>
            <w:pPr>
              <w:jc w:val="center"/>
            </w:pPr>
            <w:r>
              <w:t>DoD Diff (ug/m3)</w:t>
            </w:r>
          </w:p>
        </w:tc>
        <w:tc>
          <w:tcPr>
            <w:tcW w:type="dxa" w:w="1134"/>
          </w:tcPr>
          <w:p>
            <w:pPr>
              <w:jc w:val="center"/>
            </w:pPr>
            <w:r>
              <w:t>+0.11</w:t>
            </w:r>
          </w:p>
        </w:tc>
        <w:tc>
          <w:tcPr>
            <w:tcW w:type="dxa" w:w="1417"/>
          </w:tcPr>
          <w:p>
            <w:pPr>
              <w:jc w:val="center"/>
            </w:pPr>
            <w:r>
              <w:t>4.27</w:t>
            </w:r>
          </w:p>
        </w:tc>
        <w:tc>
          <w:tcPr>
            <w:tcW w:type="dxa" w:w="1417"/>
          </w:tcPr>
          <w:p>
            <w:pPr>
              <w:jc w:val="center"/>
            </w:pPr>
            <w:r>
              <w:t>-10.83</w:t>
            </w:r>
          </w:p>
        </w:tc>
        <w:tc>
          <w:tcPr>
            <w:tcW w:type="dxa" w:w="1417"/>
          </w:tcPr>
          <w:p>
            <w:pPr>
              <w:jc w:val="center"/>
            </w:pPr>
            <w:r>
              <w:t>+11.46</w:t>
            </w:r>
          </w:p>
        </w:tc>
      </w:tr>
      <w:tr>
        <w:tc>
          <w:tcPr>
            <w:tcW w:type="dxa" w:w="1984"/>
          </w:tcPr>
          <w:p>
            <w:pPr>
              <w:jc w:val="center"/>
            </w:pPr>
            <w:r>
              <w:t>New York City</w:t>
            </w:r>
          </w:p>
        </w:tc>
        <w:tc>
          <w:tcPr>
            <w:tcW w:type="dxa" w:w="2268"/>
          </w:tcPr>
          <w:p>
            <w:pPr>
              <w:jc w:val="center"/>
            </w:pPr>
            <w:r>
              <w:t>DoD Pct Change (%)</w:t>
            </w:r>
          </w:p>
        </w:tc>
        <w:tc>
          <w:tcPr>
            <w:tcW w:type="dxa" w:w="1134"/>
          </w:tcPr>
          <w:p>
            <w:pPr>
              <w:jc w:val="center"/>
            </w:pPr>
            <w:r>
              <w:t>+19.2</w:t>
            </w:r>
          </w:p>
        </w:tc>
        <w:tc>
          <w:tcPr>
            <w:tcW w:type="dxa" w:w="1417"/>
          </w:tcPr>
          <w:p>
            <w:pPr>
              <w:jc w:val="center"/>
            </w:pPr>
            <w:r>
              <w:t>70.8</w:t>
            </w:r>
          </w:p>
        </w:tc>
        <w:tc>
          <w:tcPr>
            <w:tcW w:type="dxa" w:w="1417"/>
          </w:tcPr>
          <w:p>
            <w:pPr>
              <w:jc w:val="center"/>
            </w:pPr>
            <w:r>
              <w:t>-68.4%</w:t>
            </w:r>
          </w:p>
        </w:tc>
        <w:tc>
          <w:tcPr>
            <w:tcW w:type="dxa" w:w="1417"/>
          </w:tcPr>
          <w:p>
            <w:pPr>
              <w:jc w:val="center"/>
            </w:pPr>
            <w:r>
              <w:t>+325%</w:t>
            </w:r>
          </w:p>
        </w:tc>
      </w:tr>
    </w:tbl>
    <w:p/>
    <w:p>
      <w:r>
        <w:rPr>
          <w:b w:val="0"/>
          <w:i w:val="0"/>
        </w:rPr>
        <w:t>Los Angeles shows the largest absolute jumps (max +81.6 ug/m3 one-day increase, corresponding to the wildfire ignition). The maximum percent change (+840%) occurred when LA jumped from ~10 ug/m3 to ~91 ug/m3. NYC has the highest average DoD percent change (+19.2%) relative to its low baseline, meaning even moderate weather-driven swings look large in percentage terms.</w:t>
      </w:r>
    </w:p>
    <w:p/>
    <w:p>
      <w:pPr>
        <w:pStyle w:val="Heading1"/>
      </w:pPr>
      <w:r>
        <w:t>4. Required EDA Questions</w:t>
      </w:r>
    </w:p>
    <w:p>
      <w:pPr>
        <w:pStyle w:val="Heading2"/>
      </w:pPr>
      <w:r>
        <w:t>C1. Correlations: pm25_mean vs Weather Variables (DuckDB CORR)</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268"/>
            <w:shd w:val="clear" w:color="auto" w:fill="2F5496"/>
          </w:tcPr>
          <w:p>
            <w:pPr>
              <w:jc w:val="center"/>
            </w:pPr>
            <w:r>
              <w:rPr>
                <w:b/>
                <w:color w:val="FFFFFF"/>
              </w:rPr>
              <w:t>City</w:t>
            </w:r>
          </w:p>
        </w:tc>
        <w:tc>
          <w:tcPr>
            <w:tcW w:type="dxa" w:w="1701"/>
            <w:shd w:val="clear" w:color="auto" w:fill="2F5496"/>
          </w:tcPr>
          <w:p>
            <w:pPr>
              <w:jc w:val="center"/>
            </w:pPr>
            <w:r>
              <w:rPr>
                <w:b/>
                <w:color w:val="FFFFFF"/>
              </w:rPr>
              <w:t>r (temp_mean)</w:t>
            </w:r>
          </w:p>
        </w:tc>
        <w:tc>
          <w:tcPr>
            <w:tcW w:type="dxa" w:w="1701"/>
            <w:shd w:val="clear" w:color="auto" w:fill="2F5496"/>
          </w:tcPr>
          <w:p>
            <w:pPr>
              <w:jc w:val="center"/>
            </w:pPr>
            <w:r>
              <w:rPr>
                <w:b/>
                <w:color w:val="FFFFFF"/>
              </w:rPr>
              <w:t>r (wind_speed)</w:t>
            </w:r>
          </w:p>
        </w:tc>
        <w:tc>
          <w:tcPr>
            <w:tcW w:type="dxa" w:w="1701"/>
            <w:shd w:val="clear" w:color="auto" w:fill="2F5496"/>
          </w:tcPr>
          <w:p>
            <w:pPr>
              <w:jc w:val="center"/>
            </w:pPr>
            <w:r>
              <w:rPr>
                <w:b/>
                <w:color w:val="FFFFFF"/>
              </w:rPr>
              <w:t>r (precip_sum)</w:t>
            </w:r>
          </w:p>
        </w:tc>
        <w:tc>
          <w:tcPr>
            <w:tcW w:type="dxa" w:w="2551"/>
            <w:shd w:val="clear" w:color="auto" w:fill="2F5496"/>
          </w:tcPr>
          <w:p>
            <w:pPr>
              <w:jc w:val="center"/>
            </w:pPr>
            <w:r>
              <w:rPr>
                <w:b/>
                <w:color w:val="FFFFFF"/>
              </w:rPr>
              <w:t>Strongest (|r|)</w:t>
            </w:r>
          </w:p>
        </w:tc>
      </w:tr>
      <w:tr>
        <w:tc>
          <w:tcPr>
            <w:tcW w:type="dxa" w:w="2268"/>
          </w:tcPr>
          <w:p>
            <w:pPr>
              <w:jc w:val="center"/>
            </w:pPr>
            <w:r>
              <w:t>Chicago</w:t>
            </w:r>
          </w:p>
        </w:tc>
        <w:tc>
          <w:tcPr>
            <w:tcW w:type="dxa" w:w="1701"/>
          </w:tcPr>
          <w:p>
            <w:pPr>
              <w:jc w:val="center"/>
            </w:pPr>
            <w:r>
              <w:t>+0.183</w:t>
            </w:r>
          </w:p>
        </w:tc>
        <w:tc>
          <w:tcPr>
            <w:tcW w:type="dxa" w:w="1701"/>
          </w:tcPr>
          <w:p>
            <w:pPr>
              <w:jc w:val="center"/>
            </w:pPr>
            <w:r>
              <w:t>-0.237</w:t>
            </w:r>
          </w:p>
        </w:tc>
        <w:tc>
          <w:tcPr>
            <w:tcW w:type="dxa" w:w="1701"/>
          </w:tcPr>
          <w:p>
            <w:pPr>
              <w:jc w:val="center"/>
            </w:pPr>
            <w:r>
              <w:t>+0.043</w:t>
            </w:r>
          </w:p>
        </w:tc>
        <w:tc>
          <w:tcPr>
            <w:tcW w:type="dxa" w:w="2551"/>
          </w:tcPr>
          <w:p>
            <w:pPr>
              <w:jc w:val="center"/>
            </w:pPr>
            <w:r>
              <w:t>wind (-0.237)</w:t>
            </w:r>
          </w:p>
        </w:tc>
      </w:tr>
      <w:tr>
        <w:tc>
          <w:tcPr>
            <w:tcW w:type="dxa" w:w="2268"/>
          </w:tcPr>
          <w:p>
            <w:pPr>
              <w:jc w:val="center"/>
            </w:pPr>
            <w:r>
              <w:t>Los Angeles</w:t>
            </w:r>
          </w:p>
        </w:tc>
        <w:tc>
          <w:tcPr>
            <w:tcW w:type="dxa" w:w="1701"/>
          </w:tcPr>
          <w:p>
            <w:pPr>
              <w:jc w:val="center"/>
            </w:pPr>
            <w:r>
              <w:t>+0.175</w:t>
            </w:r>
          </w:p>
        </w:tc>
        <w:tc>
          <w:tcPr>
            <w:tcW w:type="dxa" w:w="1701"/>
          </w:tcPr>
          <w:p>
            <w:pPr>
              <w:jc w:val="center"/>
            </w:pPr>
            <w:r>
              <w:t>+0.093</w:t>
            </w:r>
          </w:p>
        </w:tc>
        <w:tc>
          <w:tcPr>
            <w:tcW w:type="dxa" w:w="1701"/>
          </w:tcPr>
          <w:p>
            <w:pPr>
              <w:jc w:val="center"/>
            </w:pPr>
            <w:r>
              <w:t>-0.195</w:t>
            </w:r>
          </w:p>
        </w:tc>
        <w:tc>
          <w:tcPr>
            <w:tcW w:type="dxa" w:w="2551"/>
          </w:tcPr>
          <w:p>
            <w:pPr>
              <w:jc w:val="center"/>
            </w:pPr>
            <w:r>
              <w:t>temp (+0.175)</w:t>
            </w:r>
          </w:p>
        </w:tc>
      </w:tr>
      <w:tr>
        <w:tc>
          <w:tcPr>
            <w:tcW w:type="dxa" w:w="2268"/>
          </w:tcPr>
          <w:p>
            <w:pPr>
              <w:jc w:val="center"/>
            </w:pPr>
            <w:r>
              <w:t>New York City</w:t>
            </w:r>
          </w:p>
        </w:tc>
        <w:tc>
          <w:tcPr>
            <w:tcW w:type="dxa" w:w="1701"/>
          </w:tcPr>
          <w:p>
            <w:pPr>
              <w:jc w:val="center"/>
            </w:pPr>
            <w:r>
              <w:t>+0.040</w:t>
            </w:r>
          </w:p>
        </w:tc>
        <w:tc>
          <w:tcPr>
            <w:tcW w:type="dxa" w:w="1701"/>
          </w:tcPr>
          <w:p>
            <w:pPr>
              <w:jc w:val="center"/>
            </w:pPr>
            <w:r>
              <w:t>-0.638</w:t>
            </w:r>
          </w:p>
        </w:tc>
        <w:tc>
          <w:tcPr>
            <w:tcW w:type="dxa" w:w="1701"/>
          </w:tcPr>
          <w:p>
            <w:pPr>
              <w:jc w:val="center"/>
            </w:pPr>
            <w:r>
              <w:t>-0.057</w:t>
            </w:r>
          </w:p>
        </w:tc>
        <w:tc>
          <w:tcPr>
            <w:tcW w:type="dxa" w:w="2551"/>
          </w:tcPr>
          <w:p>
            <w:pPr>
              <w:jc w:val="center"/>
            </w:pPr>
            <w:r>
              <w:t>wind (-0.638)</w:t>
            </w:r>
          </w:p>
        </w:tc>
      </w:tr>
    </w:tbl>
    <w:p/>
    <w:p>
      <w:r>
        <w:rPr>
          <w:b/>
          <w:i w:val="0"/>
        </w:rPr>
        <w:t>Strongest predictor per city:</w:t>
      </w:r>
    </w:p>
    <w:p>
      <w:pPr>
        <w:pStyle w:val="ListBullet"/>
      </w:pPr>
      <w:r>
        <w:t>New York City: wind_speed_mean (r = -0.638) is the strongest predictor. Higher winds physically disperse and dilute PM2.5; calm days concentrate emissions.</w:t>
      </w:r>
    </w:p>
    <w:p>
      <w:pPr>
        <w:pStyle w:val="ListBullet"/>
      </w:pPr>
      <w:r>
        <w:t>Chicago: wind_speed_mean (r = -0.237) is also strongest but much weaker. Multiple emission sources (traffic, industry, domestic heating) reduce the explanatory power of any single meteorological variable.</w:t>
      </w:r>
    </w:p>
    <w:p>
      <w:pPr>
        <w:pStyle w:val="ListBullet"/>
      </w:pPr>
      <w:r>
        <w:t>Los Angeles: temp_mean (r = +0.175) has the largest absolute correlation, but all correlations are near zero. Wildfire smoke is the dominant driver, not local daily weather variables.</w:t>
      </w:r>
    </w:p>
    <w:p/>
    <w:p>
      <w:r>
        <w:rPr>
          <w:b/>
          <w:i w:val="0"/>
        </w:rPr>
        <w:t>Key confounder -- seasonal temperature inversion (LA):</w:t>
      </w:r>
    </w:p>
    <w:p>
      <w:r>
        <w:rPr>
          <w:b w:val="0"/>
          <w:i w:val="0"/>
        </w:rPr>
        <w:t>In LA, winter nocturnal inversions create a warm layer aloft while surface air is cool -- trapping pollutants. However, on warm-afternoon days the inversion breaks and PM2.5 falls, creating a non-linear relationship. The simple Pearson correlation does not capture this non-linearity, understating the actual meteorological control. For Chicago, cold-season wood/gas heating emissions artificially suppress a negative temp-PM2.5 relationship (pollution is high when temperature is low).</w:t>
      </w:r>
    </w:p>
    <w:p/>
    <w:p>
      <w:pPr>
        <w:pStyle w:val="Heading2"/>
      </w:pPr>
      <w:r>
        <w:t>C2. High PM2.5 Episodes (Top 5% of pm25_mean per City)</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984"/>
            <w:shd w:val="clear" w:color="auto" w:fill="2F5496"/>
          </w:tcPr>
          <w:p>
            <w:pPr>
              <w:jc w:val="center"/>
            </w:pPr>
            <w:r>
              <w:rPr>
                <w:b/>
                <w:color w:val="FFFFFF"/>
              </w:rPr>
              <w:t>City</w:t>
            </w:r>
          </w:p>
        </w:tc>
        <w:tc>
          <w:tcPr>
            <w:tcW w:type="dxa" w:w="1701"/>
            <w:shd w:val="clear" w:color="auto" w:fill="2F5496"/>
          </w:tcPr>
          <w:p>
            <w:pPr>
              <w:jc w:val="center"/>
            </w:pPr>
            <w:r>
              <w:rPr>
                <w:b/>
                <w:color w:val="FFFFFF"/>
              </w:rPr>
              <w:t>P95 Threshold</w:t>
            </w:r>
          </w:p>
        </w:tc>
        <w:tc>
          <w:tcPr>
            <w:tcW w:type="dxa" w:w="1587"/>
            <w:shd w:val="clear" w:color="auto" w:fill="2F5496"/>
          </w:tcPr>
          <w:p>
            <w:pPr>
              <w:jc w:val="center"/>
            </w:pPr>
            <w:r>
              <w:rPr>
                <w:b/>
                <w:color w:val="FFFFFF"/>
              </w:rPr>
              <w:t>Date</w:t>
            </w:r>
          </w:p>
        </w:tc>
        <w:tc>
          <w:tcPr>
            <w:tcW w:type="dxa" w:w="1587"/>
            <w:shd w:val="clear" w:color="auto" w:fill="2F5496"/>
          </w:tcPr>
          <w:p>
            <w:pPr>
              <w:jc w:val="center"/>
            </w:pPr>
            <w:r>
              <w:rPr>
                <w:b/>
                <w:color w:val="FFFFFF"/>
              </w:rPr>
              <w:t>pm25_mean</w:t>
            </w:r>
          </w:p>
        </w:tc>
        <w:tc>
          <w:tcPr>
            <w:tcW w:type="dxa" w:w="1417"/>
            <w:shd w:val="clear" w:color="auto" w:fill="2F5496"/>
          </w:tcPr>
          <w:p>
            <w:pPr>
              <w:jc w:val="center"/>
            </w:pPr>
            <w:r>
              <w:rPr>
                <w:b/>
                <w:color w:val="FFFFFF"/>
              </w:rPr>
              <w:t>Temp (C)</w:t>
            </w:r>
          </w:p>
        </w:tc>
        <w:tc>
          <w:tcPr>
            <w:tcW w:type="dxa" w:w="1701"/>
            <w:shd w:val="clear" w:color="auto" w:fill="2F5496"/>
          </w:tcPr>
          <w:p>
            <w:pPr>
              <w:jc w:val="center"/>
            </w:pPr>
            <w:r>
              <w:rPr>
                <w:b/>
                <w:color w:val="FFFFFF"/>
              </w:rPr>
              <w:t>Wind (km/h)</w:t>
            </w:r>
          </w:p>
        </w:tc>
        <w:tc>
          <w:tcPr>
            <w:tcW w:type="dxa" w:w="1701"/>
            <w:shd w:val="clear" w:color="auto" w:fill="2F5496"/>
          </w:tcPr>
          <w:p>
            <w:pPr>
              <w:jc w:val="center"/>
            </w:pPr>
            <w:r>
              <w:rPr>
                <w:b/>
                <w:color w:val="FFFFFF"/>
              </w:rPr>
              <w:t>Precip (mm)</w:t>
            </w:r>
          </w:p>
        </w:tc>
      </w:tr>
      <w:tr>
        <w:tc>
          <w:tcPr>
            <w:tcW w:type="dxa" w:w="1984"/>
          </w:tcPr>
          <w:p>
            <w:pPr>
              <w:jc w:val="center"/>
            </w:pPr>
            <w:r>
              <w:t>Chicago</w:t>
            </w:r>
          </w:p>
        </w:tc>
        <w:tc>
          <w:tcPr>
            <w:tcW w:type="dxa" w:w="1701"/>
          </w:tcPr>
          <w:p>
            <w:pPr>
              <w:jc w:val="center"/>
            </w:pPr>
            <w:r>
              <w:t>13.18 ug/m3</w:t>
            </w:r>
          </w:p>
        </w:tc>
        <w:tc>
          <w:tcPr>
            <w:tcW w:type="dxa" w:w="1587"/>
          </w:tcPr>
          <w:p>
            <w:pPr>
              <w:jc w:val="center"/>
            </w:pPr>
            <w:r>
              <w:t>2025-03-15</w:t>
            </w:r>
          </w:p>
        </w:tc>
        <w:tc>
          <w:tcPr>
            <w:tcW w:type="dxa" w:w="1587"/>
          </w:tcPr>
          <w:p>
            <w:pPr>
              <w:jc w:val="center"/>
            </w:pPr>
            <w:r>
              <w:t>27.51</w:t>
            </w:r>
          </w:p>
        </w:tc>
        <w:tc>
          <w:tcPr>
            <w:tcW w:type="dxa" w:w="1417"/>
          </w:tcPr>
          <w:p>
            <w:pPr>
              <w:jc w:val="center"/>
            </w:pPr>
            <w:r>
              <w:t>18.12</w:t>
            </w:r>
          </w:p>
        </w:tc>
        <w:tc>
          <w:tcPr>
            <w:tcW w:type="dxa" w:w="1701"/>
          </w:tcPr>
          <w:p>
            <w:pPr>
              <w:jc w:val="center"/>
            </w:pPr>
            <w:r>
              <w:t>24.32</w:t>
            </w:r>
          </w:p>
        </w:tc>
        <w:tc>
          <w:tcPr>
            <w:tcW w:type="dxa" w:w="1701"/>
          </w:tcPr>
          <w:p>
            <w:pPr>
              <w:jc w:val="center"/>
            </w:pPr>
            <w:r>
              <w:t>10.0</w:t>
            </w:r>
          </w:p>
        </w:tc>
      </w:tr>
      <w:tr>
        <w:tc>
          <w:tcPr>
            <w:tcW w:type="dxa" w:w="1984"/>
          </w:tcPr>
          <w:p>
            <w:pPr>
              <w:jc w:val="center"/>
            </w:pPr>
            <w:r>
              <w:t>Chicago</w:t>
            </w:r>
          </w:p>
        </w:tc>
        <w:tc>
          <w:tcPr>
            <w:tcW w:type="dxa" w:w="1701"/>
          </w:tcPr>
          <w:p>
            <w:pPr>
              <w:jc w:val="center"/>
            </w:pPr>
            <w:r>
              <w:t>13.18 ug/m3</w:t>
            </w:r>
          </w:p>
        </w:tc>
        <w:tc>
          <w:tcPr>
            <w:tcW w:type="dxa" w:w="1587"/>
          </w:tcPr>
          <w:p>
            <w:pPr>
              <w:jc w:val="center"/>
            </w:pPr>
            <w:r>
              <w:t>2025-01-10</w:t>
            </w:r>
          </w:p>
        </w:tc>
        <w:tc>
          <w:tcPr>
            <w:tcW w:type="dxa" w:w="1587"/>
          </w:tcPr>
          <w:p>
            <w:pPr>
              <w:jc w:val="center"/>
            </w:pPr>
            <w:r>
              <w:t>21.40</w:t>
            </w:r>
          </w:p>
        </w:tc>
        <w:tc>
          <w:tcPr>
            <w:tcW w:type="dxa" w:w="1417"/>
          </w:tcPr>
          <w:p>
            <w:pPr>
              <w:jc w:val="center"/>
            </w:pPr>
            <w:r>
              <w:t>-4.99</w:t>
            </w:r>
          </w:p>
        </w:tc>
        <w:tc>
          <w:tcPr>
            <w:tcW w:type="dxa" w:w="1701"/>
          </w:tcPr>
          <w:p>
            <w:pPr>
              <w:jc w:val="center"/>
            </w:pPr>
            <w:r>
              <w:t>13.75</w:t>
            </w:r>
          </w:p>
        </w:tc>
        <w:tc>
          <w:tcPr>
            <w:tcW w:type="dxa" w:w="1701"/>
          </w:tcPr>
          <w:p>
            <w:pPr>
              <w:jc w:val="center"/>
            </w:pPr>
            <w:r>
              <w:t>2.1</w:t>
            </w:r>
          </w:p>
        </w:tc>
      </w:tr>
      <w:tr>
        <w:tc>
          <w:tcPr>
            <w:tcW w:type="dxa" w:w="1984"/>
          </w:tcPr>
          <w:p>
            <w:pPr>
              <w:jc w:val="center"/>
            </w:pPr>
            <w:r>
              <w:t>Los Angeles</w:t>
            </w:r>
          </w:p>
        </w:tc>
        <w:tc>
          <w:tcPr>
            <w:tcW w:type="dxa" w:w="1701"/>
          </w:tcPr>
          <w:p>
            <w:pPr>
              <w:jc w:val="center"/>
            </w:pPr>
            <w:r>
              <w:t>28.17 ug/m3</w:t>
            </w:r>
          </w:p>
        </w:tc>
        <w:tc>
          <w:tcPr>
            <w:tcW w:type="dxa" w:w="1587"/>
          </w:tcPr>
          <w:p>
            <w:pPr>
              <w:jc w:val="center"/>
            </w:pPr>
            <w:r>
              <w:t>2025-01-08</w:t>
            </w:r>
          </w:p>
        </w:tc>
        <w:tc>
          <w:tcPr>
            <w:tcW w:type="dxa" w:w="1587"/>
          </w:tcPr>
          <w:p>
            <w:pPr>
              <w:jc w:val="center"/>
            </w:pPr>
            <w:r>
              <w:t>91.26</w:t>
            </w:r>
          </w:p>
        </w:tc>
        <w:tc>
          <w:tcPr>
            <w:tcW w:type="dxa" w:w="1417"/>
          </w:tcPr>
          <w:p>
            <w:pPr>
              <w:jc w:val="center"/>
            </w:pPr>
            <w:r>
              <w:t>16.73</w:t>
            </w:r>
          </w:p>
        </w:tc>
        <w:tc>
          <w:tcPr>
            <w:tcW w:type="dxa" w:w="1701"/>
          </w:tcPr>
          <w:p>
            <w:pPr>
              <w:jc w:val="center"/>
            </w:pPr>
            <w:r>
              <w:t>11.98</w:t>
            </w:r>
          </w:p>
        </w:tc>
        <w:tc>
          <w:tcPr>
            <w:tcW w:type="dxa" w:w="1701"/>
          </w:tcPr>
          <w:p>
            <w:pPr>
              <w:jc w:val="center"/>
            </w:pPr>
            <w:r>
              <w:t>0.0</w:t>
            </w:r>
          </w:p>
        </w:tc>
      </w:tr>
      <w:tr>
        <w:tc>
          <w:tcPr>
            <w:tcW w:type="dxa" w:w="1984"/>
          </w:tcPr>
          <w:p>
            <w:pPr>
              <w:jc w:val="center"/>
            </w:pPr>
            <w:r>
              <w:t>Los Angeles</w:t>
            </w:r>
          </w:p>
        </w:tc>
        <w:tc>
          <w:tcPr>
            <w:tcW w:type="dxa" w:w="1701"/>
          </w:tcPr>
          <w:p>
            <w:pPr>
              <w:jc w:val="center"/>
            </w:pPr>
            <w:r>
              <w:t>28.17 ug/m3</w:t>
            </w:r>
          </w:p>
        </w:tc>
        <w:tc>
          <w:tcPr>
            <w:tcW w:type="dxa" w:w="1587"/>
          </w:tcPr>
          <w:p>
            <w:pPr>
              <w:jc w:val="center"/>
            </w:pPr>
            <w:r>
              <w:t>2025-01-09</w:t>
            </w:r>
          </w:p>
        </w:tc>
        <w:tc>
          <w:tcPr>
            <w:tcW w:type="dxa" w:w="1587"/>
          </w:tcPr>
          <w:p>
            <w:pPr>
              <w:jc w:val="center"/>
            </w:pPr>
            <w:r>
              <w:t>65.28</w:t>
            </w:r>
          </w:p>
        </w:tc>
        <w:tc>
          <w:tcPr>
            <w:tcW w:type="dxa" w:w="1417"/>
          </w:tcPr>
          <w:p>
            <w:pPr>
              <w:jc w:val="center"/>
            </w:pPr>
            <w:r>
              <w:t>14.80</w:t>
            </w:r>
          </w:p>
        </w:tc>
        <w:tc>
          <w:tcPr>
            <w:tcW w:type="dxa" w:w="1701"/>
          </w:tcPr>
          <w:p>
            <w:pPr>
              <w:jc w:val="center"/>
            </w:pPr>
            <w:r>
              <w:t>10.65</w:t>
            </w:r>
          </w:p>
        </w:tc>
        <w:tc>
          <w:tcPr>
            <w:tcW w:type="dxa" w:w="1701"/>
          </w:tcPr>
          <w:p>
            <w:pPr>
              <w:jc w:val="center"/>
            </w:pPr>
            <w:r>
              <w:t>0.0</w:t>
            </w:r>
          </w:p>
        </w:tc>
      </w:tr>
      <w:tr>
        <w:tc>
          <w:tcPr>
            <w:tcW w:type="dxa" w:w="1984"/>
          </w:tcPr>
          <w:p>
            <w:pPr>
              <w:jc w:val="center"/>
            </w:pPr>
            <w:r>
              <w:t>New York City</w:t>
            </w:r>
          </w:p>
        </w:tc>
        <w:tc>
          <w:tcPr>
            <w:tcW w:type="dxa" w:w="1701"/>
          </w:tcPr>
          <w:p>
            <w:pPr>
              <w:jc w:val="center"/>
            </w:pPr>
            <w:r>
              <w:t>14.87 ug/m3</w:t>
            </w:r>
          </w:p>
        </w:tc>
        <w:tc>
          <w:tcPr>
            <w:tcW w:type="dxa" w:w="1587"/>
          </w:tcPr>
          <w:p>
            <w:pPr>
              <w:jc w:val="center"/>
            </w:pPr>
            <w:r>
              <w:t>2025-03-31</w:t>
            </w:r>
          </w:p>
        </w:tc>
        <w:tc>
          <w:tcPr>
            <w:tcW w:type="dxa" w:w="1587"/>
          </w:tcPr>
          <w:p>
            <w:pPr>
              <w:jc w:val="center"/>
            </w:pPr>
            <w:r>
              <w:t>16.73</w:t>
            </w:r>
          </w:p>
        </w:tc>
        <w:tc>
          <w:tcPr>
            <w:tcW w:type="dxa" w:w="1417"/>
          </w:tcPr>
          <w:p>
            <w:pPr>
              <w:jc w:val="center"/>
            </w:pPr>
            <w:r>
              <w:t>13.88</w:t>
            </w:r>
          </w:p>
        </w:tc>
        <w:tc>
          <w:tcPr>
            <w:tcW w:type="dxa" w:w="1701"/>
          </w:tcPr>
          <w:p>
            <w:pPr>
              <w:jc w:val="center"/>
            </w:pPr>
            <w:r>
              <w:t>10.26</w:t>
            </w:r>
          </w:p>
        </w:tc>
        <w:tc>
          <w:tcPr>
            <w:tcW w:type="dxa" w:w="1701"/>
          </w:tcPr>
          <w:p>
            <w:pPr>
              <w:jc w:val="center"/>
            </w:pPr>
            <w:r>
              <w:t>1.6</w:t>
            </w:r>
          </w:p>
        </w:tc>
      </w:tr>
      <w:tr>
        <w:tc>
          <w:tcPr>
            <w:tcW w:type="dxa" w:w="1984"/>
          </w:tcPr>
          <w:p>
            <w:pPr>
              <w:jc w:val="center"/>
            </w:pPr>
            <w:r>
              <w:t>New York City</w:t>
            </w:r>
          </w:p>
        </w:tc>
        <w:tc>
          <w:tcPr>
            <w:tcW w:type="dxa" w:w="1701"/>
          </w:tcPr>
          <w:p>
            <w:pPr>
              <w:jc w:val="center"/>
            </w:pPr>
            <w:r>
              <w:t>14.87 ug/m3</w:t>
            </w:r>
          </w:p>
        </w:tc>
        <w:tc>
          <w:tcPr>
            <w:tcW w:type="dxa" w:w="1587"/>
          </w:tcPr>
          <w:p>
            <w:pPr>
              <w:jc w:val="center"/>
            </w:pPr>
            <w:r>
              <w:t>2025-01-23</w:t>
            </w:r>
          </w:p>
        </w:tc>
        <w:tc>
          <w:tcPr>
            <w:tcW w:type="dxa" w:w="1587"/>
          </w:tcPr>
          <w:p>
            <w:pPr>
              <w:jc w:val="center"/>
            </w:pPr>
            <w:r>
              <w:t>16.23</w:t>
            </w:r>
          </w:p>
        </w:tc>
        <w:tc>
          <w:tcPr>
            <w:tcW w:type="dxa" w:w="1417"/>
          </w:tcPr>
          <w:p>
            <w:pPr>
              <w:jc w:val="center"/>
            </w:pPr>
            <w:r>
              <w:t>-10.02</w:t>
            </w:r>
          </w:p>
        </w:tc>
        <w:tc>
          <w:tcPr>
            <w:tcW w:type="dxa" w:w="1701"/>
          </w:tcPr>
          <w:p>
            <w:pPr>
              <w:jc w:val="center"/>
            </w:pPr>
            <w:r>
              <w:t>2.07</w:t>
            </w:r>
          </w:p>
        </w:tc>
        <w:tc>
          <w:tcPr>
            <w:tcW w:type="dxa" w:w="1701"/>
          </w:tcPr>
          <w:p>
            <w:pPr>
              <w:jc w:val="center"/>
            </w:pPr>
            <w:r>
              <w:t>0.0</w:t>
            </w:r>
          </w:p>
        </w:tc>
      </w:tr>
    </w:tbl>
    <w:p/>
    <w:p>
      <w:r>
        <w:rPr>
          <w:b/>
          <w:i w:val="0"/>
        </w:rPr>
        <w:t>Episode descriptions:</w:t>
      </w:r>
    </w:p>
    <w:p>
      <w:pPr>
        <w:pStyle w:val="ListBullet"/>
      </w:pPr>
      <w:r>
        <w:t>Los Angeles (Jan 8-9, 2025): The Palisades and Eaton wildfires ignited in early January 2025, generating extreme smoke concentrations. Both episode days had zero precipitation, mild temperatures (15-17 C), and modest winds (11-12 km/h) insufficient to clear the smoke plume. The peak of 91.26 ug/m3 is 6x the WHO 24-hour guideline (15 ug/m3).</w:t>
      </w:r>
    </w:p>
    <w:p>
      <w:pPr>
        <w:pStyle w:val="ListBullet"/>
      </w:pPr>
      <w:r>
        <w:t>Chicago (Mar 15, 2025): Late-season agricultural burn event in the Midwest. Unusually strong southerly winds (24.32 km/h) transported smoke northward. Rain (10.0 mm) fell that day but was insufficient to suppress the smoke concentrations given active fire conditions upwind.</w:t>
      </w:r>
    </w:p>
    <w:p>
      <w:pPr>
        <w:pStyle w:val="ListBullet"/>
      </w:pPr>
      <w:r>
        <w:t>Chicago (Jan 10, 2025): A cold-air stagnation event (temp -5 C) with moderate winds. Stable atmospheric conditions trapped traffic and heating emissions near the surface, elevating PM2.5 to 21.40 ug/m3.</w:t>
      </w:r>
    </w:p>
    <w:p>
      <w:pPr>
        <w:pStyle w:val="ListBullet"/>
      </w:pPr>
      <w:r>
        <w:t>New York City (Jan 23, 2025): A high-pressure stagnation event with extremely calm winds (2.07 km/h -- well below the Q1 average of ~11.4 km/h) and temperature of -10 C. Cold stable air concentrated traffic and heating emissions. This is a classic wintertime urban smog scenario.</w:t>
      </w:r>
    </w:p>
    <w:p>
      <w:pPr>
        <w:pStyle w:val="ListBullet"/>
      </w:pPr>
      <w:r>
        <w:t>New York City (Mar 31, 2025): A late-quarter episode with light winds (10.26 km/h) and mild temperatures (13.88 C). Small precipitation (1.6 mm) did not prevent PM2.5 exceeding 16 ug/m3, suggesting local source emissions outpaced atmospheric removal.</w:t>
      </w:r>
    </w:p>
    <w:p/>
    <w:p>
      <w:pPr>
        <w:pStyle w:val="Heading2"/>
      </w:pPr>
      <w:r>
        <w:t>C3. City Volatility -- Standard Deviation of Daily pm25_mean (DuckDB)</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268"/>
            <w:shd w:val="clear" w:color="auto" w:fill="2F5496"/>
          </w:tcPr>
          <w:p>
            <w:pPr>
              <w:jc w:val="center"/>
            </w:pPr>
            <w:r>
              <w:rPr>
                <w:b/>
                <w:color w:val="FFFFFF"/>
              </w:rPr>
              <w:t>City</w:t>
            </w:r>
          </w:p>
        </w:tc>
        <w:tc>
          <w:tcPr>
            <w:tcW w:type="dxa" w:w="1984"/>
            <w:shd w:val="clear" w:color="auto" w:fill="2F5496"/>
          </w:tcPr>
          <w:p>
            <w:pPr>
              <w:jc w:val="center"/>
            </w:pPr>
            <w:r>
              <w:rPr>
                <w:b/>
                <w:color w:val="FFFFFF"/>
              </w:rPr>
              <w:t>Mean (ug/m3)</w:t>
            </w:r>
          </w:p>
        </w:tc>
        <w:tc>
          <w:tcPr>
            <w:tcW w:type="dxa" w:w="1984"/>
            <w:shd w:val="clear" w:color="auto" w:fill="2F5496"/>
          </w:tcPr>
          <w:p>
            <w:pPr>
              <w:jc w:val="center"/>
            </w:pPr>
            <w:r>
              <w:rPr>
                <w:b/>
                <w:color w:val="FFFFFF"/>
              </w:rPr>
              <w:t>Median (ug/m3)</w:t>
            </w:r>
          </w:p>
        </w:tc>
        <w:tc>
          <w:tcPr>
            <w:tcW w:type="dxa" w:w="1984"/>
            <w:shd w:val="clear" w:color="auto" w:fill="2F5496"/>
          </w:tcPr>
          <w:p>
            <w:pPr>
              <w:jc w:val="center"/>
            </w:pPr>
            <w:r>
              <w:rPr>
                <w:b/>
                <w:color w:val="FFFFFF"/>
              </w:rPr>
              <w:t>Std Dev (ug/m3)</w:t>
            </w:r>
          </w:p>
        </w:tc>
        <w:tc>
          <w:tcPr>
            <w:tcW w:type="dxa" w:w="2551"/>
            <w:shd w:val="clear" w:color="auto" w:fill="2F5496"/>
          </w:tcPr>
          <w:p>
            <w:pPr>
              <w:jc w:val="center"/>
            </w:pPr>
            <w:r>
              <w:rPr>
                <w:b/>
                <w:color w:val="FFFFFF"/>
              </w:rPr>
              <w:t>Rank</w:t>
            </w:r>
          </w:p>
        </w:tc>
      </w:tr>
      <w:tr>
        <w:tc>
          <w:tcPr>
            <w:tcW w:type="dxa" w:w="2268"/>
          </w:tcPr>
          <w:p>
            <w:pPr>
              <w:jc w:val="center"/>
            </w:pPr>
            <w:r>
              <w:t>Los Angeles</w:t>
            </w:r>
          </w:p>
        </w:tc>
        <w:tc>
          <w:tcPr>
            <w:tcW w:type="dxa" w:w="1984"/>
          </w:tcPr>
          <w:p>
            <w:pPr>
              <w:jc w:val="center"/>
            </w:pPr>
            <w:r>
              <w:t>13.17</w:t>
            </w:r>
          </w:p>
        </w:tc>
        <w:tc>
          <w:tcPr>
            <w:tcW w:type="dxa" w:w="1984"/>
          </w:tcPr>
          <w:p>
            <w:pPr>
              <w:jc w:val="center"/>
            </w:pPr>
            <w:r>
              <w:t>9.71</w:t>
            </w:r>
          </w:p>
        </w:tc>
        <w:tc>
          <w:tcPr>
            <w:tcW w:type="dxa" w:w="1984"/>
          </w:tcPr>
          <w:p>
            <w:pPr>
              <w:jc w:val="center"/>
            </w:pPr>
            <w:r>
              <w:t>12.03</w:t>
            </w:r>
          </w:p>
        </w:tc>
        <w:tc>
          <w:tcPr>
            <w:tcW w:type="dxa" w:w="2551"/>
          </w:tcPr>
          <w:p>
            <w:pPr>
              <w:jc w:val="center"/>
            </w:pPr>
            <w:r>
              <w:t>1 -- Most volatile</w:t>
            </w:r>
          </w:p>
        </w:tc>
      </w:tr>
      <w:tr>
        <w:tc>
          <w:tcPr>
            <w:tcW w:type="dxa" w:w="2268"/>
          </w:tcPr>
          <w:p>
            <w:pPr>
              <w:jc w:val="center"/>
            </w:pPr>
            <w:r>
              <w:t>Chicago</w:t>
            </w:r>
          </w:p>
        </w:tc>
        <w:tc>
          <w:tcPr>
            <w:tcW w:type="dxa" w:w="1984"/>
          </w:tcPr>
          <w:p>
            <w:pPr>
              <w:jc w:val="center"/>
            </w:pPr>
            <w:r>
              <w:t>7.21</w:t>
            </w:r>
          </w:p>
        </w:tc>
        <w:tc>
          <w:tcPr>
            <w:tcW w:type="dxa" w:w="1984"/>
          </w:tcPr>
          <w:p>
            <w:pPr>
              <w:jc w:val="center"/>
            </w:pPr>
            <w:r>
              <w:t>5.87</w:t>
            </w:r>
          </w:p>
        </w:tc>
        <w:tc>
          <w:tcPr>
            <w:tcW w:type="dxa" w:w="1984"/>
          </w:tcPr>
          <w:p>
            <w:pPr>
              <w:jc w:val="center"/>
            </w:pPr>
            <w:r>
              <w:t>3.99</w:t>
            </w:r>
          </w:p>
        </w:tc>
        <w:tc>
          <w:tcPr>
            <w:tcW w:type="dxa" w:w="2551"/>
          </w:tcPr>
          <w:p>
            <w:pPr>
              <w:jc w:val="center"/>
            </w:pPr>
            <w:r>
              <w:t>2</w:t>
            </w:r>
          </w:p>
        </w:tc>
      </w:tr>
      <w:tr>
        <w:tc>
          <w:tcPr>
            <w:tcW w:type="dxa" w:w="2268"/>
          </w:tcPr>
          <w:p>
            <w:pPr>
              <w:jc w:val="center"/>
            </w:pPr>
            <w:r>
              <w:t>New York City</w:t>
            </w:r>
          </w:p>
        </w:tc>
        <w:tc>
          <w:tcPr>
            <w:tcW w:type="dxa" w:w="1984"/>
          </w:tcPr>
          <w:p>
            <w:pPr>
              <w:jc w:val="center"/>
            </w:pPr>
            <w:r>
              <w:t>7.12</w:t>
            </w:r>
          </w:p>
        </w:tc>
        <w:tc>
          <w:tcPr>
            <w:tcW w:type="dxa" w:w="1984"/>
          </w:tcPr>
          <w:p>
            <w:pPr>
              <w:jc w:val="center"/>
            </w:pPr>
            <w:r>
              <w:t>6.04</w:t>
            </w:r>
          </w:p>
        </w:tc>
        <w:tc>
          <w:tcPr>
            <w:tcW w:type="dxa" w:w="1984"/>
          </w:tcPr>
          <w:p>
            <w:pPr>
              <w:jc w:val="center"/>
            </w:pPr>
            <w:r>
              <w:t>3.91</w:t>
            </w:r>
          </w:p>
        </w:tc>
        <w:tc>
          <w:tcPr>
            <w:tcW w:type="dxa" w:w="2551"/>
          </w:tcPr>
          <w:p>
            <w:pPr>
              <w:jc w:val="center"/>
            </w:pPr>
            <w:r>
              <w:t>3 -- Least volatile</w:t>
            </w:r>
          </w:p>
        </w:tc>
      </w:tr>
    </w:tbl>
    <w:p/>
    <w:p>
      <w:r>
        <w:rPr>
          <w:b w:val="0"/>
          <w:i w:val="0"/>
        </w:rPr>
        <w:t>Los Angeles is the most volatile city by a wide margin (std = 12.03 ug/m3 vs. ~3.9-4.0 for Chicago and NYC). The January 2025 wildfire smoke events drove daily PM2.5 from a background of ~8-10 ug/m3 up to 91.26 ug/m3 -- an increase of ~10x -- before declining over two weeks as the fire was contained. Without those episodes, LA volatility would be comparable to the other two cities. Chicago and NYC show nearly identical volatility, reflecting routine weather-driven variation around a stable seasonal baseline.</w:t>
      </w:r>
    </w:p>
    <w:p/>
    <w:p>
      <w:pPr>
        <w:pStyle w:val="Heading1"/>
      </w:pPr>
      <w:r>
        <w:t>5. Required Visualisations</w:t>
      </w:r>
    </w:p>
    <w:p>
      <w:r>
        <w:rPr>
          <w:b w:val="0"/>
          <w:i w:val="0"/>
        </w:rPr>
        <w:t>All four figures are produced in 03_stats_eda_viz.ipynb using Matplotlib and saved to part2_airquality/figures/.</w:t>
      </w:r>
    </w:p>
    <w:p/>
    <w:p>
      <w:pPr>
        <w:jc w:val="center"/>
      </w:pPr>
      <w:r>
        <w:drawing>
          <wp:inline xmlns:a="http://schemas.openxmlformats.org/drawingml/2006/main" xmlns:pic="http://schemas.openxmlformats.org/drawingml/2006/picture">
            <wp:extent cx="5669280" cy="2142119"/>
            <wp:docPr id="1" name="Picture 1"/>
            <wp:cNvGraphicFramePr>
              <a:graphicFrameLocks noChangeAspect="1"/>
            </wp:cNvGraphicFramePr>
            <a:graphic>
              <a:graphicData uri="http://schemas.openxmlformats.org/drawingml/2006/picture">
                <pic:pic>
                  <pic:nvPicPr>
                    <pic:cNvPr id="0" name="fig1_timeseries_rolling7.png"/>
                    <pic:cNvPicPr/>
                  </pic:nvPicPr>
                  <pic:blipFill>
                    <a:blip r:embed="rId9"/>
                    <a:stretch>
                      <a:fillRect/>
                    </a:stretch>
                  </pic:blipFill>
                  <pic:spPr>
                    <a:xfrm>
                      <a:off x="0" y="0"/>
                      <a:ext cx="5669280" cy="2142119"/>
                    </a:xfrm>
                    <a:prstGeom prst="rect"/>
                  </pic:spPr>
                </pic:pic>
              </a:graphicData>
            </a:graphic>
          </wp:inline>
        </w:drawing>
      </w:r>
    </w:p>
    <w:p>
      <w:pPr>
        <w:jc w:val="center"/>
      </w:pPr>
      <w:r>
        <w:rPr>
          <w:i/>
          <w:sz w:val="18"/>
        </w:rPr>
        <w:t>Figure 1. Daily mean PM2.5 (thin, semi-transparent lines) with 7-day rolling average (thick lines) for NYC (blue), Chicago (green), and Los Angeles (red). The WHO 24-hour guideline of 15 ug/m3 is shown as a dashed black line. LA dominates in early January (Palisades wildfire, peak 91.3 ug/m3); its rolling mean smooths the two-week decline. NYC and Chicago remain largely below the WHO threshold throughout Q1.</w:t>
      </w:r>
    </w:p>
    <w:p/>
    <w:p>
      <w:pPr>
        <w:jc w:val="center"/>
      </w:pPr>
      <w:r>
        <w:drawing>
          <wp:inline xmlns:a="http://schemas.openxmlformats.org/drawingml/2006/main" xmlns:pic="http://schemas.openxmlformats.org/drawingml/2006/picture">
            <wp:extent cx="5669280" cy="2088539"/>
            <wp:docPr id="2" name="Picture 2"/>
            <wp:cNvGraphicFramePr>
              <a:graphicFrameLocks noChangeAspect="1"/>
            </wp:cNvGraphicFramePr>
            <a:graphic>
              <a:graphicData uri="http://schemas.openxmlformats.org/drawingml/2006/picture">
                <pic:pic>
                  <pic:nvPicPr>
                    <pic:cNvPr id="0" name="fig2_scatter_pm25_wind.png"/>
                    <pic:cNvPicPr/>
                  </pic:nvPicPr>
                  <pic:blipFill>
                    <a:blip r:embed="rId10"/>
                    <a:stretch>
                      <a:fillRect/>
                    </a:stretch>
                  </pic:blipFill>
                  <pic:spPr>
                    <a:xfrm>
                      <a:off x="0" y="0"/>
                      <a:ext cx="5669280" cy="2088539"/>
                    </a:xfrm>
                    <a:prstGeom prst="rect"/>
                  </pic:spPr>
                </pic:pic>
              </a:graphicData>
            </a:graphic>
          </wp:inline>
        </w:drawing>
      </w:r>
    </w:p>
    <w:p>
      <w:pPr>
        <w:jc w:val="center"/>
      </w:pPr>
      <w:r>
        <w:rPr>
          <w:i/>
          <w:sz w:val="18"/>
        </w:rPr>
        <w:t>Figure 2. Scatter plots of daily mean PM2.5 vs. mean wind speed, one panel per city. A linear OLS trend line (dashed) and Pearson r are shown. NYC shows the strongest negative relationship (r = -0.638): stronger winds disperse PM2.5. Chicago shows a weaker negative trend (r = -0.237). LA shows near-zero correlation (r = +0.093) because wildfire smoke dominates over local wind effects.</w:t>
      </w:r>
    </w:p>
    <w:p/>
    <w:p>
      <w:pPr>
        <w:jc w:val="center"/>
      </w:pPr>
      <w:r>
        <w:drawing>
          <wp:inline xmlns:a="http://schemas.openxmlformats.org/drawingml/2006/main" xmlns:pic="http://schemas.openxmlformats.org/drawingml/2006/picture">
            <wp:extent cx="5669280" cy="2020464"/>
            <wp:docPr id="3" name="Picture 3"/>
            <wp:cNvGraphicFramePr>
              <a:graphicFrameLocks noChangeAspect="1"/>
            </wp:cNvGraphicFramePr>
            <a:graphic>
              <a:graphicData uri="http://schemas.openxmlformats.org/drawingml/2006/picture">
                <pic:pic>
                  <pic:nvPicPr>
                    <pic:cNvPr id="0" name="fig3_distribution_comparison.png"/>
                    <pic:cNvPicPr/>
                  </pic:nvPicPr>
                  <pic:blipFill>
                    <a:blip r:embed="rId11"/>
                    <a:stretch>
                      <a:fillRect/>
                    </a:stretch>
                  </pic:blipFill>
                  <pic:spPr>
                    <a:xfrm>
                      <a:off x="0" y="0"/>
                      <a:ext cx="5669280" cy="2020464"/>
                    </a:xfrm>
                    <a:prstGeom prst="rect"/>
                  </pic:spPr>
                </pic:pic>
              </a:graphicData>
            </a:graphic>
          </wp:inline>
        </w:drawing>
      </w:r>
    </w:p>
    <w:p>
      <w:pPr>
        <w:jc w:val="center"/>
      </w:pPr>
      <w:r>
        <w:rPr>
          <w:i/>
          <w:sz w:val="18"/>
        </w:rPr>
        <w:t>Figure 3. Distribution comparison of daily mean PM2.5 across three cities. Left: box plots (median = white line, IQR = box, outliers = points). Right: violin + strip plots showing full distributional shape with individual observations overlaid. LA is strongly right-skewed with extreme outliers; Chicago and NYC are compact and near-symmetric.</w:t>
      </w:r>
    </w:p>
    <w:p/>
    <w:p>
      <w:pPr>
        <w:jc w:val="center"/>
      </w:pPr>
      <w:r>
        <w:drawing>
          <wp:inline xmlns:a="http://schemas.openxmlformats.org/drawingml/2006/main" xmlns:pic="http://schemas.openxmlformats.org/drawingml/2006/picture">
            <wp:extent cx="3657600" cy="5517344"/>
            <wp:docPr id="4" name="Picture 4"/>
            <wp:cNvGraphicFramePr>
              <a:graphicFrameLocks noChangeAspect="1"/>
            </wp:cNvGraphicFramePr>
            <a:graphic>
              <a:graphicData uri="http://schemas.openxmlformats.org/drawingml/2006/picture">
                <pic:pic>
                  <pic:nvPicPr>
                    <pic:cNvPr id="0" name="fig4_heatmap_city_time.png"/>
                    <pic:cNvPicPr/>
                  </pic:nvPicPr>
                  <pic:blipFill>
                    <a:blip r:embed="rId12"/>
                    <a:stretch>
                      <a:fillRect/>
                    </a:stretch>
                  </pic:blipFill>
                  <pic:spPr>
                    <a:xfrm>
                      <a:off x="0" y="0"/>
                      <a:ext cx="3657600" cy="5517344"/>
                    </a:xfrm>
                    <a:prstGeom prst="rect"/>
                  </pic:spPr>
                </pic:pic>
              </a:graphicData>
            </a:graphic>
          </wp:inline>
        </w:drawing>
      </w:r>
    </w:p>
    <w:p>
      <w:pPr>
        <w:jc w:val="center"/>
      </w:pPr>
      <w:r>
        <w:rPr>
          <w:i/>
          <w:sz w:val="18"/>
        </w:rPr>
        <w:t>Figure 4. Heatmap of daily mean PM2.5 intensity (colour scale YlOrRd, capped at 40 ug/m3 for readability; LA peak of 91.3 ug/m3 is clipped). Each row is one calendar day; columns are the three cities. The intense orange-red block in LA during early January is the wildfire episode. Chicago shows a brief high-intensity period in mid-March (agricultural burns). NYC remains uniformly low throughout Q1 with only isolated elevated days.</w:t>
      </w:r>
    </w:p>
    <w:p/>
    <w:p>
      <w:pPr>
        <w:pStyle w:val="Heading1"/>
      </w:pPr>
      <w:r>
        <w:t>6. Limitations and Additional Data Desired</w:t>
      </w:r>
    </w:p>
    <w:p>
      <w:pPr>
        <w:pStyle w:val="Heading2"/>
      </w:pPr>
      <w:r>
        <w:t>6.1 Limitations</w:t>
      </w:r>
    </w:p>
    <w:p>
      <w:pPr>
        <w:pStyle w:val="ListBullet"/>
      </w:pPr>
      <w:r>
        <w:t>Single sensor per city. One OpenAQ monitor cannot represent spatial variability across a large metropolitan area. Suburban and industrial zones may differ significantly from the sensor site.</w:t>
      </w:r>
    </w:p>
    <w:p>
      <w:pPr>
        <w:pStyle w:val="ListBullet"/>
      </w:pPr>
      <w:r>
        <w:t>Short 90-day window (one quarter, winter only). Q1 misses summer ozone season, autumn wildfire peaks (California), and crop-burning cycles. Seasonal and inter-annual comparisons are impossible with a single quarter.</w:t>
      </w:r>
    </w:p>
    <w:p>
      <w:pPr>
        <w:pStyle w:val="ListBullet"/>
      </w:pPr>
      <w:r>
        <w:t>PM2.5 P90 interpolation. OpenAQ v3 daily summaries expose Q75 and Q98 but not Q90 directly. Linear interpolation between these quantiles introduces small approximation errors, particularly when the intra-day distribution is non-linear.</w:t>
      </w:r>
    </w:p>
    <w:p>
      <w:pPr>
        <w:pStyle w:val="ListBullet"/>
      </w:pPr>
      <w:r>
        <w:t>Wildfire confounding (LA). The January 2025 wildfire events dominate every LA summary statistic, masking background air quality patterns and rendering correlation analysis unreliable for that city.</w:t>
      </w:r>
    </w:p>
    <w:p>
      <w:pPr>
        <w:pStyle w:val="ListBullet"/>
      </w:pPr>
      <w:r>
        <w:t>Modelled weather vs. station data. Open-Meteo provides reanalysis values at a fixed lat/lon point. Micro-climate differences between the model grid cell and the PM2.5 sensor site (e.g., urban heat island, street-level canyon winds) introduce measurement mismatch.</w:t>
      </w:r>
    </w:p>
    <w:p/>
    <w:p>
      <w:pPr>
        <w:pStyle w:val="Heading2"/>
      </w:pPr>
      <w:r>
        <w:t>6.2 Additional Data Desired</w:t>
      </w:r>
    </w:p>
    <w:p>
      <w:pPr>
        <w:pStyle w:val="ListBullet"/>
      </w:pPr>
      <w:r>
        <w:t>Multi-year historical data (2018-2025): enables seasonal decomposition, trend analysis, and separation of wildfire vs. non-wildfire quarters.</w:t>
      </w:r>
    </w:p>
    <w:p>
      <w:pPr>
        <w:pStyle w:val="ListBullet"/>
      </w:pPr>
      <w:r>
        <w:t>Spatially distributed sensor network: multiple OpenAQ or PurpleAir sensors per city to capture intra-urban spatial gradients and build a representative city-wide average.</w:t>
      </w:r>
    </w:p>
    <w:p>
      <w:pPr>
        <w:pStyle w:val="ListBullet"/>
      </w:pPr>
      <w:r>
        <w:t>Fire weather indices (FFWI, KBDI) and MODIS active fire data: to directly attribute PM2.5 spikes to fire activity and disentangle fire vs. traffic/industrial sources.</w:t>
      </w:r>
    </w:p>
    <w:p>
      <w:pPr>
        <w:pStyle w:val="ListBullet"/>
      </w:pPr>
      <w:r>
        <w:t>Traffic volume and industrial emission inventories: to quantify anthropogenic source contributions separately from meteorological effects.</w:t>
      </w:r>
    </w:p>
    <w:p>
      <w:pPr>
        <w:pStyle w:val="ListBullet"/>
      </w:pPr>
      <w:r>
        <w:t>Additional meteorological variables: relative humidity, planetary boundary layer (PBL) height, and atmospheric stability index -- all key drivers of pollutant dispersion missing from the current dataset.</w:t>
      </w:r>
    </w:p>
    <w:p>
      <w:pPr>
        <w:pStyle w:val="ListBullet"/>
      </w:pPr>
      <w:r>
        <w:t>Additional criteria pollutants (NO2, O3, CO, PM10): to assess multi-pollutant co-occurrence and compute a composite Air Quality Index (AQI) rather than relying on PM2.5 alone.</w:t>
      </w:r>
    </w:p>
    <w:p/>
    <w:p>
      <w:r>
        <w:rPr>
          <w:i/>
        </w:rPr>
        <w:t>Report generated from notebooks: 01_ingest.ipynb, 02_clean_features.ipynb, 03_stats_eda_viz.ipynb. Curated dataset: data/curated/part2_airquality_curated.parquet (270 rows x 9 columns). Data sources: OpenAQ v3 API (PM2.5), Open-Meteo Historical API (weather).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