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Checklist: responding to ransomware</w:t>
      </w:r>
    </w:p>
    <w:p>
      <w:r>
        <w:rPr>
          <w:color w:val="56656F"/>
          <w:sz w:val="23"/>
        </w:rPr>
        <w:t>Print it and keep it with your response plan, outside your usual systems. It assumes your main systems may be unavailable.</w:t>
      </w:r>
    </w:p>
    <w:p>
      <w:r>
        <w:rPr>
          <w:i/>
          <w:color w:val="56656F"/>
          <w:sz w:val="18"/>
        </w:rPr>
        <w:t>General-purpose template provided as a starting point. Adapt it to your organization and have it reviewed by your legal, compliance and security advisers before use. It is not legal advice.</w:t>
      </w:r>
    </w:p>
    <w:p>
      <w:r>
        <w:t>Use this list as a memory aid, not a complete plan. The big decisions (whether to pay, who to notify, when to restart) belong to your leadership, with your legal advisers and insurer. Prepare the contact details in advance: in the middle of a crisis, nobody finds a phone number.</w:t>
      </w:r>
    </w:p>
    <w:p>
      <w:pPr>
        <w:pStyle w:val="Heading1"/>
      </w:pPr>
      <w:r>
        <w:t>1. In the first hour: contain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Owner / time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Isolate affected devices from the network (unplug the cable, disable Wi-Fi) without powering them off, to preserve evidence in memory.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Disable compromised accounts and, if needed, cut remote access (VPN, remote desktop).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Protect backups: disconnect or lock them before they are encrypted or deleted.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Activate your crisis team and open a time-stamped log of every finding and decision.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Communicate out of band (phone, personal messaging): assume the attacker can read your email and chat.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2. Within 24 hours: assess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Owner / time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Identify what is affected: systems, data, sites, suppliers and customers involved.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Find the likely entry point and check whether data was copied before encryption (double extortion).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Take a snapshot of what is affected (disk images, logs) before any rebuild.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Notify your cyber insurer and your legal counsel; respect the reporting deadlines in your policy.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Bring in an incident response team, internal or external, if you lack the expertise.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3. Decisions and notifications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Owner / time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Report the incident to law enforcement and the competent cybersecurity agencies in your country.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Determine notification duties: regulators, affected individuals, customers, partners (DORA, NIS2, GDPR, Law 25, sector rules).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Record the ransom decision: who decides, on what basis, with what advice. Check sanctions exposure first.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Prepare a single, factual communication for staff, customers and the media.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4. Recovery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Owner / time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Rebuild from clean sources: validated images, backups tested and scanned before restoration.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Reset all credentials (service accounts, administrators, access keys) before reconnecting anything.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Restore in business-priority order, based on your impact analysis and recovery objectives (RTO/RPO).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Monitor restored systems closely: the attacker may have left persistent access.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5. After the incident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Owner / time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Hold a blameless review within two to four weeks.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Fix the root cause and the gaps found (access, segmentation, backups, detection).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Update the response plan, the contact details and the exercise scenarios.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Schedule an exercise that replays the scenario to confirm the fixes work.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Emergency contacts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176"/>
        <w:gridCol w:w="2880"/>
        <w:gridCol w:w="2880"/>
      </w:tblGrid>
      <w:tr>
        <w:tc>
          <w:tcPr>
            <w:tcW w:type="dxa" w:w="4176"/>
            <w:shd w:val="clear" w:color="auto" w:fill="E6EEF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val="clear" w:color="auto" w:fill="E6EEF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  <w:shd w:val="clear" w:color="auto" w:fill="E6EEF8"/>
          </w:tcPr>
          <w:p>
            <w:r>
              <w:rPr>
                <w:b/>
              </w:rPr>
              <w:t>Phone (out of band)</w:t>
            </w:r>
          </w:p>
        </w:tc>
      </w:tr>
      <w:tr>
        <w:tc>
          <w:tcPr>
            <w:tcW w:type="dxa" w:w="4176"/>
          </w:tcPr>
          <w:p>
            <w:r>
              <w:t>Crisis lead / executive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Incident response provider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Cyber insurer (policy number)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Legal counsel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Cybersecurity agency / police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Hosting / cloud provider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Sources</w:t>
      </w:r>
    </w:p>
    <w:p>
      <w:pPr>
        <w:pStyle w:val="ListBullet"/>
      </w:pPr>
      <w:r>
        <w:t>CISA — #StopRansomware Guide — https://www.cisa.gov/stopransomware/ransomware-guide</w:t>
      </w:r>
    </w:p>
    <w:p>
      <w:pPr>
        <w:pStyle w:val="ListBullet"/>
      </w:pPr>
      <w:r>
        <w:t>NCSC (UK) — Mitigating malware and ransomware attacks — https://www.ncsc.gov.uk/guidance/mitigating-malware-and-ransomware-attacks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6656F"/>
        <w:sz w:val="16"/>
      </w:rPr>
      <w:t>FZ Consultation · fzconsultation.xyz · General template,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6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52B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FZ Consultation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