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Feuille de travail RTO / RPO</w:t>
      </w:r>
    </w:p>
    <w:p>
      <w:r>
        <w:rPr>
          <w:color w:val="56656F"/>
          <w:sz w:val="23"/>
        </w:rPr>
        <w:t>Commencez par la tolérance de l'entreprise, pas par la technologie : la bonne cible se décide avec les responsables d'affaires.</w:t>
      </w:r>
    </w:p>
    <w:p>
      <w:r>
        <w:rPr>
          <w:i/>
          <w:color w:val="56656F"/>
          <w:sz w:val="18"/>
        </w:rPr>
        <w:t>Modèle général fourni comme point de départ. Adaptez-le à votre organisation et faites-le valider par vos conseillers juridiques, de conformité et de sécurité avant usage. Il ne constitue pas un avis juridique.</w:t>
      </w:r>
    </w:p>
    <w:p>
      <w:r>
        <w:t>Remplissez une ligne par service d'affaires important. Demandez à son responsable : « Après combien de temps d'arrêt les dégâts deviennent-ils inacceptables ? Combien de données récentes peut-on perdre ? » Comparez ensuite avec ce que vos systèmes savent réellement faire, mesuré lors d'un test, pas lu dans une brochure.</w:t>
      </w:r>
    </w:p>
    <w:p>
      <w:pPr>
        <w:pStyle w:val="Heading1"/>
      </w:pPr>
      <w:r>
        <w:t>Définitions</w:t>
      </w:r>
    </w:p>
    <w:p>
      <w:r>
        <w:rPr>
          <w:b/>
        </w:rPr>
        <w:t xml:space="preserve">RTO — </w:t>
      </w:r>
      <w:r>
        <w:t>Recovery Time Objective : durée maximale visée entre l'interruption et le retour du service.</w:t>
      </w:r>
    </w:p>
    <w:p>
      <w:r>
        <w:rPr>
          <w:b/>
        </w:rPr>
        <w:t xml:space="preserve">RPO — </w:t>
      </w:r>
      <w:r>
        <w:t>Recovery Point Objective : ancienneté maximale des données restaurées, donc la perte de données acceptée.</w:t>
      </w:r>
    </w:p>
    <w:p>
      <w:r>
        <w:rPr>
          <w:b/>
        </w:rPr>
        <w:t xml:space="preserve">MTPD — </w:t>
      </w:r>
      <w:r>
        <w:t>Durée maximale d'interruption tolérable : au-delà, la survie de l'activité est menacée. Le RTO doit rester nettement en dessous.</w:t>
      </w:r>
    </w:p>
    <w:p>
      <w:pPr>
        <w:pStyle w:val="Heading1"/>
      </w:pPr>
      <w:r>
        <w:t>Tableau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872"/>
        <w:gridCol w:w="1368"/>
        <w:gridCol w:w="1152"/>
        <w:gridCol w:w="792"/>
        <w:gridCol w:w="864"/>
        <w:gridCol w:w="864"/>
        <w:gridCol w:w="864"/>
        <w:gridCol w:w="864"/>
        <w:gridCol w:w="2592"/>
        <w:gridCol w:w="2880"/>
      </w:tblGrid>
      <w:tr>
        <w:tc>
          <w:tcPr>
            <w:tcW w:type="dxa" w:w="1872"/>
            <w:shd w:val="clear" w:color="auto" w:fill="E6EEF8"/>
          </w:tcPr>
          <w:p>
            <w:r>
              <w:rPr>
                <w:b/>
                <w:sz w:val="17"/>
              </w:rPr>
              <w:t>Service d'affaires</w:t>
            </w:r>
          </w:p>
        </w:tc>
        <w:tc>
          <w:tcPr>
            <w:tcW w:type="dxa" w:w="1368"/>
            <w:shd w:val="clear" w:color="auto" w:fill="E6EEF8"/>
          </w:tcPr>
          <w:p>
            <w:r>
              <w:rPr>
                <w:b/>
                <w:sz w:val="17"/>
              </w:rPr>
              <w:t>Responsable</w:t>
            </w:r>
          </w:p>
        </w:tc>
        <w:tc>
          <w:tcPr>
            <w:tcW w:type="dxa" w:w="1152"/>
            <w:shd w:val="clear" w:color="auto" w:fill="E6EEF8"/>
          </w:tcPr>
          <w:p>
            <w:r>
              <w:rPr>
                <w:b/>
                <w:sz w:val="17"/>
              </w:rPr>
              <w:t>Coût d'une heure d'arrêt</w:t>
            </w:r>
          </w:p>
        </w:tc>
        <w:tc>
          <w:tcPr>
            <w:tcW w:type="dxa" w:w="792"/>
            <w:shd w:val="clear" w:color="auto" w:fill="E6EEF8"/>
          </w:tcPr>
          <w:p>
            <w:r>
              <w:rPr>
                <w:b/>
                <w:sz w:val="17"/>
              </w:rPr>
              <w:t>MTPD</w:t>
            </w:r>
          </w:p>
        </w:tc>
        <w:tc>
          <w:tcPr>
            <w:tcW w:type="dxa" w:w="864"/>
            <w:shd w:val="clear" w:color="auto" w:fill="E6EEF8"/>
          </w:tcPr>
          <w:p>
            <w:r>
              <w:rPr>
                <w:b/>
                <w:sz w:val="17"/>
              </w:rPr>
              <w:t>RTO cible</w:t>
            </w:r>
          </w:p>
        </w:tc>
        <w:tc>
          <w:tcPr>
            <w:tcW w:type="dxa" w:w="864"/>
            <w:shd w:val="clear" w:color="auto" w:fill="E6EEF8"/>
          </w:tcPr>
          <w:p>
            <w:r>
              <w:rPr>
                <w:b/>
                <w:sz w:val="17"/>
              </w:rPr>
              <w:t>RPO cible</w:t>
            </w:r>
          </w:p>
        </w:tc>
        <w:tc>
          <w:tcPr>
            <w:tcW w:type="dxa" w:w="864"/>
            <w:shd w:val="clear" w:color="auto" w:fill="E6EEF8"/>
          </w:tcPr>
          <w:p>
            <w:r>
              <w:rPr>
                <w:b/>
                <w:sz w:val="17"/>
              </w:rPr>
              <w:t>RTO testé</w:t>
            </w:r>
          </w:p>
        </w:tc>
        <w:tc>
          <w:tcPr>
            <w:tcW w:type="dxa" w:w="864"/>
            <w:shd w:val="clear" w:color="auto" w:fill="E6EEF8"/>
          </w:tcPr>
          <w:p>
            <w:r>
              <w:rPr>
                <w:b/>
                <w:sz w:val="17"/>
              </w:rPr>
              <w:t>RPO réel</w:t>
            </w:r>
          </w:p>
        </w:tc>
        <w:tc>
          <w:tcPr>
            <w:tcW w:type="dxa" w:w="2592"/>
            <w:shd w:val="clear" w:color="auto" w:fill="E6EEF8"/>
          </w:tcPr>
          <w:p>
            <w:r>
              <w:rPr>
                <w:b/>
                <w:sz w:val="17"/>
              </w:rPr>
              <w:t>Dépendances</w:t>
            </w:r>
          </w:p>
        </w:tc>
        <w:tc>
          <w:tcPr>
            <w:tcW w:type="dxa" w:w="2880"/>
            <w:shd w:val="clear" w:color="auto" w:fill="E6EEF8"/>
          </w:tcPr>
          <w:p>
            <w:r>
              <w:rPr>
                <w:b/>
                <w:sz w:val="17"/>
              </w:rPr>
              <w:t>Écart et action</w:t>
            </w:r>
          </w:p>
        </w:tc>
      </w:tr>
      <w:tr>
        <w:tc>
          <w:tcPr>
            <w:tcW w:type="dxa" w:w="1872"/>
          </w:tcPr>
          <w:p>
            <w:r>
              <w:rPr>
                <w:i/>
                <w:color w:val="56656F"/>
                <w:sz w:val="17"/>
              </w:rPr>
              <w:t>Paiement en ligne</w:t>
            </w:r>
          </w:p>
        </w:tc>
        <w:tc>
          <w:tcPr>
            <w:tcW w:type="dxa" w:w="1368"/>
          </w:tcPr>
          <w:p>
            <w:r>
              <w:rPr>
                <w:i/>
                <w:color w:val="56656F"/>
                <w:sz w:val="17"/>
              </w:rPr>
              <w:t>Directrice du commerce</w:t>
            </w:r>
          </w:p>
        </w:tc>
        <w:tc>
          <w:tcPr>
            <w:tcW w:type="dxa" w:w="1152"/>
          </w:tcPr>
          <w:p>
            <w:r>
              <w:rPr>
                <w:i/>
                <w:color w:val="56656F"/>
                <w:sz w:val="17"/>
              </w:rPr>
              <w:t>45 000 $</w:t>
            </w:r>
          </w:p>
        </w:tc>
        <w:tc>
          <w:tcPr>
            <w:tcW w:type="dxa" w:w="792"/>
          </w:tcPr>
          <w:p>
            <w:r>
              <w:rPr>
                <w:i/>
                <w:color w:val="56656F"/>
                <w:sz w:val="17"/>
              </w:rPr>
              <w:t>8 h</w:t>
            </w:r>
          </w:p>
        </w:tc>
        <w:tc>
          <w:tcPr>
            <w:tcW w:type="dxa" w:w="864"/>
          </w:tcPr>
          <w:p>
            <w:r>
              <w:rPr>
                <w:i/>
                <w:color w:val="56656F"/>
                <w:sz w:val="17"/>
              </w:rPr>
              <w:t>2 h</w:t>
            </w:r>
          </w:p>
        </w:tc>
        <w:tc>
          <w:tcPr>
            <w:tcW w:type="dxa" w:w="864"/>
          </w:tcPr>
          <w:p>
            <w:r>
              <w:rPr>
                <w:i/>
                <w:color w:val="56656F"/>
                <w:sz w:val="17"/>
              </w:rPr>
              <w:t>15 min</w:t>
            </w:r>
          </w:p>
        </w:tc>
        <w:tc>
          <w:tcPr>
            <w:tcW w:type="dxa" w:w="864"/>
          </w:tcPr>
          <w:p>
            <w:r>
              <w:rPr>
                <w:i/>
                <w:color w:val="56656F"/>
                <w:sz w:val="17"/>
              </w:rPr>
              <w:t>6 h</w:t>
            </w:r>
          </w:p>
        </w:tc>
        <w:tc>
          <w:tcPr>
            <w:tcW w:type="dxa" w:w="864"/>
          </w:tcPr>
          <w:p>
            <w:r>
              <w:rPr>
                <w:i/>
                <w:color w:val="56656F"/>
                <w:sz w:val="17"/>
              </w:rPr>
              <w:t>24 h</w:t>
            </w:r>
          </w:p>
        </w:tc>
        <w:tc>
          <w:tcPr>
            <w:tcW w:type="dxa" w:w="2592"/>
          </w:tcPr>
          <w:p>
            <w:r>
              <w:rPr>
                <w:i/>
                <w:color w:val="56656F"/>
                <w:sz w:val="17"/>
              </w:rPr>
              <w:t>Base de données, passerelle de paiement, DNS</w:t>
            </w:r>
          </w:p>
        </w:tc>
        <w:tc>
          <w:tcPr>
            <w:tcW w:type="dxa" w:w="2880"/>
          </w:tcPr>
          <w:p>
            <w:r>
              <w:rPr>
                <w:i/>
                <w:color w:val="56656F"/>
                <w:sz w:val="17"/>
              </w:rPr>
              <w:t>Écart de 4 h sur le RTO et de 23 h 45 sur le RPO : répliquer la base et automatiser le basculement.</w:t>
            </w:r>
          </w:p>
        </w:tc>
      </w:tr>
      <w:tr>
        <w:tc>
          <w:tcPr>
            <w:tcW w:type="dxa" w:w="1872"/>
          </w:tcPr>
          <w:p/>
        </w:tc>
        <w:tc>
          <w:tcPr>
            <w:tcW w:type="dxa" w:w="1368"/>
          </w:tcPr>
          <w:p/>
        </w:tc>
        <w:tc>
          <w:tcPr>
            <w:tcW w:type="dxa" w:w="1152"/>
          </w:tcPr>
          <w:p/>
        </w:tc>
        <w:tc>
          <w:tcPr>
            <w:tcW w:type="dxa" w:w="792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2592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1872"/>
          </w:tcPr>
          <w:p/>
        </w:tc>
        <w:tc>
          <w:tcPr>
            <w:tcW w:type="dxa" w:w="1368"/>
          </w:tcPr>
          <w:p/>
        </w:tc>
        <w:tc>
          <w:tcPr>
            <w:tcW w:type="dxa" w:w="1152"/>
          </w:tcPr>
          <w:p/>
        </w:tc>
        <w:tc>
          <w:tcPr>
            <w:tcW w:type="dxa" w:w="792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2592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1872"/>
          </w:tcPr>
          <w:p/>
        </w:tc>
        <w:tc>
          <w:tcPr>
            <w:tcW w:type="dxa" w:w="1368"/>
          </w:tcPr>
          <w:p/>
        </w:tc>
        <w:tc>
          <w:tcPr>
            <w:tcW w:type="dxa" w:w="1152"/>
          </w:tcPr>
          <w:p/>
        </w:tc>
        <w:tc>
          <w:tcPr>
            <w:tcW w:type="dxa" w:w="792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2592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1872"/>
          </w:tcPr>
          <w:p/>
        </w:tc>
        <w:tc>
          <w:tcPr>
            <w:tcW w:type="dxa" w:w="1368"/>
          </w:tcPr>
          <w:p/>
        </w:tc>
        <w:tc>
          <w:tcPr>
            <w:tcW w:type="dxa" w:w="1152"/>
          </w:tcPr>
          <w:p/>
        </w:tc>
        <w:tc>
          <w:tcPr>
            <w:tcW w:type="dxa" w:w="792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2592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1872"/>
          </w:tcPr>
          <w:p/>
        </w:tc>
        <w:tc>
          <w:tcPr>
            <w:tcW w:type="dxa" w:w="1368"/>
          </w:tcPr>
          <w:p/>
        </w:tc>
        <w:tc>
          <w:tcPr>
            <w:tcW w:type="dxa" w:w="1152"/>
          </w:tcPr>
          <w:p/>
        </w:tc>
        <w:tc>
          <w:tcPr>
            <w:tcW w:type="dxa" w:w="792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2592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1872"/>
          </w:tcPr>
          <w:p/>
        </w:tc>
        <w:tc>
          <w:tcPr>
            <w:tcW w:type="dxa" w:w="1368"/>
          </w:tcPr>
          <w:p/>
        </w:tc>
        <w:tc>
          <w:tcPr>
            <w:tcW w:type="dxa" w:w="1152"/>
          </w:tcPr>
          <w:p/>
        </w:tc>
        <w:tc>
          <w:tcPr>
            <w:tcW w:type="dxa" w:w="792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2592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1872"/>
          </w:tcPr>
          <w:p/>
        </w:tc>
        <w:tc>
          <w:tcPr>
            <w:tcW w:type="dxa" w:w="1368"/>
          </w:tcPr>
          <w:p/>
        </w:tc>
        <w:tc>
          <w:tcPr>
            <w:tcW w:type="dxa" w:w="1152"/>
          </w:tcPr>
          <w:p/>
        </w:tc>
        <w:tc>
          <w:tcPr>
            <w:tcW w:type="dxa" w:w="792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2592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1872"/>
          </w:tcPr>
          <w:p/>
        </w:tc>
        <w:tc>
          <w:tcPr>
            <w:tcW w:type="dxa" w:w="1368"/>
          </w:tcPr>
          <w:p/>
        </w:tc>
        <w:tc>
          <w:tcPr>
            <w:tcW w:type="dxa" w:w="1152"/>
          </w:tcPr>
          <w:p/>
        </w:tc>
        <w:tc>
          <w:tcPr>
            <w:tcW w:type="dxa" w:w="792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2592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1872"/>
          </w:tcPr>
          <w:p/>
        </w:tc>
        <w:tc>
          <w:tcPr>
            <w:tcW w:type="dxa" w:w="1368"/>
          </w:tcPr>
          <w:p/>
        </w:tc>
        <w:tc>
          <w:tcPr>
            <w:tcW w:type="dxa" w:w="1152"/>
          </w:tcPr>
          <w:p/>
        </w:tc>
        <w:tc>
          <w:tcPr>
            <w:tcW w:type="dxa" w:w="792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2592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1872"/>
          </w:tcPr>
          <w:p/>
        </w:tc>
        <w:tc>
          <w:tcPr>
            <w:tcW w:type="dxa" w:w="1368"/>
          </w:tcPr>
          <w:p/>
        </w:tc>
        <w:tc>
          <w:tcPr>
            <w:tcW w:type="dxa" w:w="1152"/>
          </w:tcPr>
          <w:p/>
        </w:tc>
        <w:tc>
          <w:tcPr>
            <w:tcW w:type="dxa" w:w="792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2592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1872"/>
          </w:tcPr>
          <w:p/>
        </w:tc>
        <w:tc>
          <w:tcPr>
            <w:tcW w:type="dxa" w:w="1368"/>
          </w:tcPr>
          <w:p/>
        </w:tc>
        <w:tc>
          <w:tcPr>
            <w:tcW w:type="dxa" w:w="1152"/>
          </w:tcPr>
          <w:p/>
        </w:tc>
        <w:tc>
          <w:tcPr>
            <w:tcW w:type="dxa" w:w="792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2592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1872"/>
          </w:tcPr>
          <w:p/>
        </w:tc>
        <w:tc>
          <w:tcPr>
            <w:tcW w:type="dxa" w:w="1368"/>
          </w:tcPr>
          <w:p/>
        </w:tc>
        <w:tc>
          <w:tcPr>
            <w:tcW w:type="dxa" w:w="1152"/>
          </w:tcPr>
          <w:p/>
        </w:tc>
        <w:tc>
          <w:tcPr>
            <w:tcW w:type="dxa" w:w="792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864"/>
          </w:tcPr>
          <w:p/>
        </w:tc>
        <w:tc>
          <w:tcPr>
            <w:tcW w:type="dxa" w:w="2592"/>
          </w:tcPr>
          <w:p/>
        </w:tc>
        <w:tc>
          <w:tcPr>
            <w:tcW w:type="dxa" w:w="2880"/>
          </w:tcPr>
          <w:p/>
        </w:tc>
      </w:tr>
    </w:tbl>
    <w:p>
      <w:r>
        <w:rPr>
          <w:i/>
          <w:sz w:val="17"/>
        </w:rPr>
        <w:t>La première ligne est un exemple fictif.</w:t>
      </w:r>
    </w:p>
    <w:p>
      <w:pPr>
        <w:pStyle w:val="Heading1"/>
      </w:pPr>
      <w:r>
        <w:t>Conseils</w:t>
      </w:r>
    </w:p>
    <w:p>
      <w:pPr>
        <w:pStyle w:val="ListBullet"/>
      </w:pPr>
      <w:r>
        <w:rPr>
          <w:b/>
        </w:rPr>
        <w:t xml:space="preserve">Cibles par niveaux. </w:t>
      </w:r>
      <w:r>
        <w:t>Quatre niveaux (par exemple critique, important, utile, différable) suffisent. Un RTO différent pour chaque système est impossible à tester et à financer.</w:t>
      </w:r>
    </w:p>
    <w:p>
      <w:pPr>
        <w:pStyle w:val="ListBullet"/>
      </w:pPr>
      <w:r>
        <w:rPr>
          <w:b/>
        </w:rPr>
        <w:t xml:space="preserve">Mesurez, ne devinez pas. </w:t>
      </w:r>
      <w:r>
        <w:t>Une colonne « testé » vide est une réponse en soi : elle indique que l'objectif n'a jamais été démontré.</w:t>
      </w:r>
    </w:p>
    <w:p>
      <w:pPr>
        <w:pStyle w:val="ListBullet"/>
      </w:pPr>
      <w:r>
        <w:rPr>
          <w:b/>
        </w:rPr>
        <w:t xml:space="preserve">Suivez les dépendances. </w:t>
      </w:r>
      <w:r>
        <w:t>Un service ne reprend pas plus vite que le plus lent de ses composants : identité, DNS, réseau, fournisseurs.</w:t>
      </w:r>
    </w:p>
    <w:p>
      <w:pPr>
        <w:pStyle w:val="ListBullet"/>
      </w:pPr>
      <w:r>
        <w:rPr>
          <w:b/>
        </w:rPr>
        <w:t xml:space="preserve">Revoyez chaque année. </w:t>
      </w:r>
      <w:r>
        <w:t>Une nouvelle application, un changement de fournisseur ou une fusion déplacent les cibles. Revoyez-les au moins une fois par an.</w:t>
      </w:r>
    </w:p>
    <w:sectPr w:rsidR="00FC693F" w:rsidRPr="0006063C" w:rsidSect="00034616">
      <w:footerReference w:type="default" r:id="rId9"/>
      <w:pgSz w:w="15840" w:h="12240" w:orient="landscape"/>
      <w:pgMar w:top="1152" w:right="864" w:bottom="115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6656F"/>
        <w:sz w:val="16"/>
      </w:rPr>
      <w:t>FZ Consultation · fzconsultation.xyz · Modèle général, ne constitue pas un avis juridique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rial" w:hAnsi="Arial" w:eastAsia="Arial"/>
      <w:color w:val="1622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52B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52B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52B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FZ Consultation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</dc:language>
</cp:coreProperties>
</file>