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RTO / RPO worksheet</w:t>
      </w:r>
    </w:p>
    <w:p>
      <w:r>
        <w:rPr>
          <w:color w:val="56656F"/>
          <w:sz w:val="23"/>
        </w:rPr>
        <w:t>Start from what the business can tolerate, not from the technology: the right target is set with business owners.</w:t>
      </w:r>
    </w:p>
    <w:p>
      <w:r>
        <w:rPr>
          <w:i/>
          <w:color w:val="56656F"/>
          <w:sz w:val="18"/>
        </w:rPr>
        <w:t>General-purpose template provided as a starting point. Adapt it to your organization and have it reviewed by your legal, compliance and security advisers before use. It is not legal advice.</w:t>
      </w:r>
    </w:p>
    <w:p>
      <w:r>
        <w:t>Fill in one row per important business service. Ask its owner: "After how long a stoppage does the damage become unacceptable? How much recent data can we afford to lose?" Then compare with what your systems can really do, measured in a test, not read in a brochure.</w:t>
      </w:r>
    </w:p>
    <w:p>
      <w:pPr>
        <w:pStyle w:val="Heading1"/>
      </w:pPr>
      <w:r>
        <w:t>Definitions</w:t>
      </w:r>
    </w:p>
    <w:p>
      <w:r>
        <w:rPr>
          <w:b/>
        </w:rPr>
        <w:t xml:space="preserve">RTO — </w:t>
      </w:r>
      <w:r>
        <w:t>Recovery Time Objective: the target maximum time between the interruption and the service coming back.</w:t>
      </w:r>
    </w:p>
    <w:p>
      <w:r>
        <w:rPr>
          <w:b/>
        </w:rPr>
        <w:t xml:space="preserve">RPO — </w:t>
      </w:r>
      <w:r>
        <w:t>Recovery Point Objective: the maximum age of restored data, hence the data loss accepted.</w:t>
      </w:r>
    </w:p>
    <w:p>
      <w:r>
        <w:rPr>
          <w:b/>
        </w:rPr>
        <w:t xml:space="preserve">MTPD — </w:t>
      </w:r>
      <w:r>
        <w:t>Maximum Tolerable Period of Disruption: beyond it, the viability of the activity is threatened. The RTO must stay well below it.</w:t>
      </w:r>
    </w:p>
    <w:p>
      <w:pPr>
        <w:pStyle w:val="Heading1"/>
      </w:pPr>
      <w:r>
        <w:t>Worksheet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1368"/>
        <w:gridCol w:w="1152"/>
        <w:gridCol w:w="792"/>
        <w:gridCol w:w="864"/>
        <w:gridCol w:w="864"/>
        <w:gridCol w:w="864"/>
        <w:gridCol w:w="864"/>
        <w:gridCol w:w="2592"/>
        <w:gridCol w:w="2880"/>
      </w:tblGrid>
      <w:tr>
        <w:tc>
          <w:tcPr>
            <w:tcW w:type="dxa" w:w="1872"/>
            <w:shd w:val="clear" w:color="auto" w:fill="E6EEF8"/>
          </w:tcPr>
          <w:p>
            <w:r>
              <w:rPr>
                <w:b/>
                <w:sz w:val="17"/>
              </w:rPr>
              <w:t>Business service</w:t>
            </w:r>
          </w:p>
        </w:tc>
        <w:tc>
          <w:tcPr>
            <w:tcW w:type="dxa" w:w="1368"/>
            <w:shd w:val="clear" w:color="auto" w:fill="E6EEF8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1152"/>
            <w:shd w:val="clear" w:color="auto" w:fill="E6EEF8"/>
          </w:tcPr>
          <w:p>
            <w:r>
              <w:rPr>
                <w:b/>
                <w:sz w:val="17"/>
              </w:rPr>
              <w:t>Cost of one hour down</w:t>
            </w:r>
          </w:p>
        </w:tc>
        <w:tc>
          <w:tcPr>
            <w:tcW w:type="dxa" w:w="792"/>
            <w:shd w:val="clear" w:color="auto" w:fill="E6EEF8"/>
          </w:tcPr>
          <w:p>
            <w:r>
              <w:rPr>
                <w:b/>
                <w:sz w:val="17"/>
              </w:rPr>
              <w:t>MTPD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Target RTO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Target RPO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Tested RTO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Actual RPO</w:t>
            </w:r>
          </w:p>
        </w:tc>
        <w:tc>
          <w:tcPr>
            <w:tcW w:type="dxa" w:w="2592"/>
            <w:shd w:val="clear" w:color="auto" w:fill="E6EEF8"/>
          </w:tcPr>
          <w:p>
            <w:r>
              <w:rPr>
                <w:b/>
                <w:sz w:val="17"/>
              </w:rPr>
              <w:t>Dependencies</w:t>
            </w:r>
          </w:p>
        </w:tc>
        <w:tc>
          <w:tcPr>
            <w:tcW w:type="dxa" w:w="2880"/>
            <w:shd w:val="clear" w:color="auto" w:fill="E6EEF8"/>
          </w:tcPr>
          <w:p>
            <w:r>
              <w:rPr>
                <w:b/>
                <w:sz w:val="17"/>
              </w:rPr>
              <w:t>Gap and action</w:t>
            </w:r>
          </w:p>
        </w:tc>
      </w:tr>
      <w:tr>
        <w:tc>
          <w:tcPr>
            <w:tcW w:type="dxa" w:w="1872"/>
          </w:tcPr>
          <w:p>
            <w:r>
              <w:rPr>
                <w:i/>
                <w:color w:val="56656F"/>
                <w:sz w:val="17"/>
              </w:rPr>
              <w:t>Online payment</w:t>
            </w:r>
          </w:p>
        </w:tc>
        <w:tc>
          <w:tcPr>
            <w:tcW w:type="dxa" w:w="1368"/>
          </w:tcPr>
          <w:p>
            <w:r>
              <w:rPr>
                <w:i/>
                <w:color w:val="56656F"/>
                <w:sz w:val="17"/>
              </w:rPr>
              <w:t>Head of e-commerce</w:t>
            </w:r>
          </w:p>
        </w:tc>
        <w:tc>
          <w:tcPr>
            <w:tcW w:type="dxa" w:w="1152"/>
          </w:tcPr>
          <w:p>
            <w:r>
              <w:rPr>
                <w:i/>
                <w:color w:val="56656F"/>
                <w:sz w:val="17"/>
              </w:rPr>
              <w:t>$45,000</w:t>
            </w:r>
          </w:p>
        </w:tc>
        <w:tc>
          <w:tcPr>
            <w:tcW w:type="dxa" w:w="792"/>
          </w:tcPr>
          <w:p>
            <w:r>
              <w:rPr>
                <w:i/>
                <w:color w:val="56656F"/>
                <w:sz w:val="17"/>
              </w:rPr>
              <w:t>8 h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2 h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15 min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6 h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24 h</w:t>
            </w:r>
          </w:p>
        </w:tc>
        <w:tc>
          <w:tcPr>
            <w:tcW w:type="dxa" w:w="2592"/>
          </w:tcPr>
          <w:p>
            <w:r>
              <w:rPr>
                <w:i/>
                <w:color w:val="56656F"/>
                <w:sz w:val="17"/>
              </w:rPr>
              <w:t>Database, payment gateway, DNS</w:t>
            </w:r>
          </w:p>
        </w:tc>
        <w:tc>
          <w:tcPr>
            <w:tcW w:type="dxa" w:w="2880"/>
          </w:tcPr>
          <w:p>
            <w:r>
              <w:rPr>
                <w:i/>
                <w:color w:val="56656F"/>
                <w:sz w:val="17"/>
              </w:rPr>
              <w:t>4 h gap on RTO and 23 h 45 on RPO: replicate the database and automate failover.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</w:tbl>
    <w:p>
      <w:r>
        <w:rPr>
          <w:i/>
          <w:sz w:val="17"/>
        </w:rPr>
        <w:t>The first row is a fictional example.</w:t>
      </w:r>
    </w:p>
    <w:p>
      <w:pPr>
        <w:pStyle w:val="Heading1"/>
      </w:pPr>
      <w:r>
        <w:t>Tips</w:t>
      </w:r>
    </w:p>
    <w:p>
      <w:pPr>
        <w:pStyle w:val="ListBullet"/>
      </w:pPr>
      <w:r>
        <w:rPr>
          <w:b/>
        </w:rPr>
        <w:t xml:space="preserve">Tier your targets. </w:t>
      </w:r>
      <w:r>
        <w:t>Four tiers (for example critical, important, useful, deferrable) are enough. A different RTO for every system is impossible to test and to fund.</w:t>
      </w:r>
    </w:p>
    <w:p>
      <w:pPr>
        <w:pStyle w:val="ListBullet"/>
      </w:pPr>
      <w:r>
        <w:rPr>
          <w:b/>
        </w:rPr>
        <w:t xml:space="preserve">Measure, don't guess. </w:t>
      </w:r>
      <w:r>
        <w:t>An empty "tested" column is an answer in itself: it shows the objective has never been demonstrated.</w:t>
      </w:r>
    </w:p>
    <w:p>
      <w:pPr>
        <w:pStyle w:val="ListBullet"/>
      </w:pPr>
      <w:r>
        <w:rPr>
          <w:b/>
        </w:rPr>
        <w:t xml:space="preserve">Follow dependencies. </w:t>
      </w:r>
      <w:r>
        <w:t>A service cannot recover faster than the slowest of its parts: identity, DNS, network, suppliers.</w:t>
      </w:r>
    </w:p>
    <w:p>
      <w:pPr>
        <w:pStyle w:val="ListBullet"/>
      </w:pPr>
      <w:r>
        <w:rPr>
          <w:b/>
        </w:rPr>
        <w:t xml:space="preserve">Review yearly. </w:t>
      </w:r>
      <w:r>
        <w:t>A new application, a supplier change or a merger shifts the targets. Review them at least once a year.</w:t>
      </w:r>
    </w:p>
    <w:sectPr w:rsidR="00FC693F" w:rsidRPr="0006063C" w:rsidSect="00034616">
      <w:footerReference w:type="default" r:id="rId9"/>
      <w:pgSz w:w="15840" w:h="12240" w:orient="landscape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56F"/>
        <w:sz w:val="16"/>
      </w:rPr>
      <w:t>FZ Consultation · fzconsultation.xyz · General template,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6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52B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 Consultation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</dc:language>
</cp:coreProperties>
</file>