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acceptable-use policy template</w:t>
      </w:r>
    </w:p>
    <w:p>
      <w:r>
        <w:rPr>
          <w:color w:val="56656F"/>
          <w:sz w:val="23"/>
        </w:rPr>
        <w:t>A base to customize so teams know clearly what is allowed, what is not and who is accountable.</w:t>
      </w:r>
    </w:p>
    <w:p>
      <w:r>
        <w:rPr>
          <w:i/>
          <w:color w:val="56656F"/>
          <w:sz w:val="18"/>
        </w:rPr>
        <w:t>General-purpose template provided as a starting point. Adapt it to your organization and have it reviewed by your legal, compliance and security advisers before use. It is not legal advice.</w:t>
      </w:r>
    </w:p>
    <w:p>
      <w:r>
        <w:t>Passages in square brackets are to be completed or adapted. Have the text reviewed by your legal, human resources and security teams. A policy nobody reads protects nothing: pair it with short training and a maintained list of approved tools.</w:t>
      </w:r>
    </w:p>
    <w:tbl>
      <w:tblPr>
        <w:tblStyle w:val="TableGrid"/>
        <w:tblW w:type="auto" w:w="0"/>
        <w:tblLayout w:type="fixed"/>
        <w:tblLook w:firstColumn="1" w:firstRow="1" w:lastColumn="0" w:lastRow="0" w:noHBand="0" w:noVBand="1" w:val="04A0"/>
        <w:tblLayout w:type="fixed"/>
      </w:tblPr>
      <w:tblGrid>
        <w:gridCol w:w="2880"/>
        <w:gridCol w:w="7056"/>
      </w:tblGrid>
      <w:tr>
        <w:tc>
          <w:tcPr>
            <w:tcW w:type="dxa" w:w="2880"/>
            <w:shd w:val="clear" w:color="auto" w:fill="E6EEF8"/>
          </w:tcPr>
          <w:p>
            <w:r>
              <w:t>Organization</w:t>
            </w:r>
          </w:p>
        </w:tc>
        <w:tc>
          <w:tcPr>
            <w:tcW w:type="dxa" w:w="7056"/>
          </w:tcPr>
          <w:p>
            <w:r>
              <w:t>[Organization name]</w:t>
            </w:r>
          </w:p>
        </w:tc>
      </w:tr>
      <w:tr>
        <w:tc>
          <w:tcPr>
            <w:tcW w:type="dxa" w:w="2880"/>
            <w:shd w:val="clear" w:color="auto" w:fill="E6EEF8"/>
          </w:tcPr>
          <w:p>
            <w:r>
              <w:t>Version</w:t>
            </w:r>
          </w:p>
        </w:tc>
        <w:tc>
          <w:tcPr>
            <w:tcW w:type="dxa" w:w="7056"/>
          </w:tcPr>
          <w:p>
            <w:r>
              <w:t>[1.0]</w:t>
            </w:r>
          </w:p>
        </w:tc>
      </w:tr>
      <w:tr>
        <w:tc>
          <w:tcPr>
            <w:tcW w:type="dxa" w:w="2880"/>
            <w:shd w:val="clear" w:color="auto" w:fill="E6EEF8"/>
          </w:tcPr>
          <w:p>
            <w:r>
              <w:t>Effective date</w:t>
            </w:r>
          </w:p>
        </w:tc>
        <w:tc>
          <w:tcPr>
            <w:tcW w:type="dxa" w:w="7056"/>
          </w:tcPr>
          <w:p>
            <w:r>
              <w:t>[date]</w:t>
            </w:r>
          </w:p>
        </w:tc>
      </w:tr>
      <w:tr>
        <w:tc>
          <w:tcPr>
            <w:tcW w:type="dxa" w:w="2880"/>
            <w:shd w:val="clear" w:color="auto" w:fill="E6EEF8"/>
          </w:tcPr>
          <w:p>
            <w:r>
              <w:t>Owner</w:t>
            </w:r>
          </w:p>
        </w:tc>
        <w:tc>
          <w:tcPr>
            <w:tcW w:type="dxa" w:w="7056"/>
          </w:tcPr>
          <w:p>
            <w:r>
              <w:t>[role]</w:t>
            </w:r>
          </w:p>
        </w:tc>
      </w:tr>
    </w:tbl>
    <w:p>
      <w:pPr>
        <w:pStyle w:val="Heading1"/>
      </w:pPr>
      <w:r>
        <w:t>1. Purpose and scope</w:t>
      </w:r>
    </w:p>
    <w:p>
      <w:r>
        <w:t>This policy governs the use of artificial intelligence tools, including generative AI and autonomous agents, by the staff, contractors and interns of [Organization name] in the course of their work.</w:t>
      </w:r>
    </w:p>
    <w:p>
      <w:pPr>
        <w:pStyle w:val="Heading1"/>
      </w:pPr>
      <w:r>
        <w:t>2. Definitions</w:t>
      </w:r>
    </w:p>
    <w:p>
      <w:r>
        <w:t>"AI tool": any service or software that generates content, makes recommendations or takes decisions using learned models. "Agent": an AI tool that carries out actions (send, change, purchase, deploy) without approval at each step.</w:t>
      </w:r>
    </w:p>
    <w:p>
      <w:pPr>
        <w:pStyle w:val="Heading1"/>
      </w:pPr>
      <w:r>
        <w:t>3. Approved tools</w:t>
      </w:r>
    </w:p>
    <w:p>
      <w:r>
        <w:t>Only tools listed in the [register of approved AI tools] may be used with the organization's data. Any new request goes through [the designated owner] before use.</w:t>
      </w:r>
    </w:p>
    <w:p>
      <w:pPr>
        <w:pStyle w:val="Heading1"/>
      </w:pPr>
      <w:r>
        <w:t>4. Permitted and prohibited data</w:t>
      </w:r>
    </w:p>
    <w:p>
      <w:r>
        <w:t>It is prohibited to enter into an unapproved tool: personal information, customer data, trade secrets, confidential source code, non-public financial information, credentials and access keys. Data classified [internal] may be used only in tools approved for that level.</w:t>
      </w:r>
    </w:p>
    <w:p>
      <w:pPr>
        <w:pStyle w:val="Heading1"/>
      </w:pPr>
      <w:r>
        <w:t>5. Human oversight and accountability</w:t>
      </w:r>
    </w:p>
    <w:p>
      <w:r>
        <w:t>You remain accountable for any AI-generated content or decision you use. Check facts, sources and figures before sharing. No decision with a significant effect on a person (hiring, credit, discipline, health) may be made solely by an AI tool.</w:t>
      </w:r>
    </w:p>
    <w:p>
      <w:pPr>
        <w:pStyle w:val="Heading1"/>
      </w:pPr>
      <w:r>
        <w:t>6. Agents and automation</w:t>
      </w:r>
    </w:p>
    <w:p>
      <w:r>
        <w:t>Every agent has a named owner, a distinct identity, access limited to what is strictly necessary, logging of its actions and a way to stop it quickly. Irreversible or high-impact actions require human approval.</w:t>
      </w:r>
    </w:p>
    <w:p>
      <w:pPr>
        <w:pStyle w:val="Heading1"/>
      </w:pPr>
      <w:r>
        <w:t>7. Transparency</w:t>
      </w:r>
    </w:p>
    <w:p>
      <w:r>
        <w:t>Disclose when content was produced or substantially altered by AI where this may affect the recipient's trust, and where law or contract requires it. Tell customers when they are interacting with an agent rather than a person.</w:t>
      </w:r>
    </w:p>
    <w:p>
      <w:pPr>
        <w:pStyle w:val="Heading1"/>
      </w:pPr>
      <w:r>
        <w:t>8. Intellectual property</w:t>
      </w:r>
    </w:p>
    <w:p>
      <w:r>
        <w:t>Do not submit copyrighted content you have no right to use. Check the terms of use for generated content before using it in client deliverables.</w:t>
      </w:r>
    </w:p>
    <w:p>
      <w:pPr>
        <w:pStyle w:val="Heading1"/>
      </w:pPr>
      <w:r>
        <w:t>9. Vendors and third parties</w:t>
      </w:r>
    </w:p>
    <w:p>
      <w:r>
        <w:t>Before approving a tool, check where data is processed and stored, whether it is used to train models, the vendor's certifications and its commitments in case of an incident.</w:t>
      </w:r>
    </w:p>
    <w:p>
      <w:pPr>
        <w:pStyle w:val="Heading1"/>
      </w:pPr>
      <w:r>
        <w:t>10. Incident reporting</w:t>
      </w:r>
    </w:p>
    <w:p>
      <w:r>
        <w:t>Immediately report to [address or team] any data leak, unexpected agent behavior or inappropriate content produced by a tool. Good-faith reporting leads to no penalty.</w:t>
      </w:r>
    </w:p>
    <w:p>
      <w:pPr>
        <w:pStyle w:val="Heading1"/>
      </w:pPr>
      <w:r>
        <w:t>11. Training</w:t>
      </w:r>
    </w:p>
    <w:p>
      <w:r>
        <w:t>Everyone completes training on this policy at onboarding and then [every year].</w:t>
      </w:r>
    </w:p>
    <w:p>
      <w:pPr>
        <w:pStyle w:val="Heading1"/>
      </w:pPr>
      <w:r>
        <w:t>12. Enforcement</w:t>
      </w:r>
    </w:p>
    <w:p>
      <w:r>
        <w:t>Non-compliance with this policy may lead to measures up to termination of employment or contract, depending on severity and in line with applicable law.</w:t>
      </w:r>
    </w:p>
    <w:p>
      <w:pPr>
        <w:pStyle w:val="Heading1"/>
      </w:pPr>
      <w:r>
        <w:t>13. Review</w:t>
      </w:r>
    </w:p>
    <w:p>
      <w:r>
        <w:t>This policy is reviewed at least [every six months] and after any significant incident or regulatory change. Owner: [role]. Version: [number]. Date: [date].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6656F"/>
        <w:sz w:val="16"/>
      </w:rPr>
      <w:t>FZ Consultation · fzconsultation.xyz · General template,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olor w:val="1622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52B2"/>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0052B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0052B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FZ Consultation</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