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Tableau de bord d'audit d'un agent IA</w:t>
      </w:r>
    </w:p>
    <w:p>
      <w:r>
        <w:rPr>
          <w:color w:val="56656F"/>
          <w:sz w:val="23"/>
        </w:rPr>
        <w:t>La version allégée de la méthode de FZ AI Auditor, pour que votre équipe fasse un premier état des lieux et le répète.</w:t>
      </w:r>
    </w:p>
    <w:p>
      <w:r>
        <w:rPr>
          <w:i/>
          <w:color w:val="56656F"/>
          <w:sz w:val="18"/>
        </w:rPr>
        <w:t>Modèle général fourni comme point de départ. Adaptez-le à votre organisation et faites-le valider par vos conseillers juridiques, de conformité et de sécurité avant usage. Il ne constitue pas un avis juridique.</w:t>
      </w:r>
    </w:p>
    <w:p>
      <w:r>
        <w:t>Remplissez une ligne par agent ou automatisation déployé. Appuyez chaque colonne sur des preuves (journaux, traces, factures, échantillons revus) plutôt que sur le document de conception. Les cotes ci-dessous sont un exemple de grille : adaptez les seuils à votre tolérance au risque. Refaites le tableau chaque trimestre et à chaque changement de modèle, de consigne ou de permission, puis comparez avec le cycle précédent.</w:t>
      </w:r>
    </w:p>
    <w:p>
      <w:pPr>
        <w:pStyle w:val="Heading1"/>
      </w:pPr>
      <w:r>
        <w:t>Grille de cotation du rayon d'impact (exemple)</w:t>
      </w:r>
    </w:p>
    <w:p>
      <w:r>
        <w:rPr>
          <w:b/>
        </w:rPr>
        <w:t xml:space="preserve">Faible — </w:t>
      </w:r>
      <w:r>
        <w:t>Erreurs réversibles, peu de cas touchés, détection rapide : une personne s'en aperçoit le jour même.</w:t>
      </w:r>
    </w:p>
    <w:p>
      <w:r>
        <w:rPr>
          <w:b/>
        </w:rPr>
        <w:t xml:space="preserve">Modéré — </w:t>
      </w:r>
      <w:r>
        <w:t>Erreurs réversibles mais nombreuses, ou détection en quelques jours. Correction coûteuse sans être critique.</w:t>
      </w:r>
    </w:p>
    <w:p>
      <w:r>
        <w:rPr>
          <w:b/>
        </w:rPr>
        <w:t xml:space="preserve">Élevé — </w:t>
      </w:r>
      <w:r>
        <w:t>Erreurs partiellement irréversibles, ou touchant des clients, de l'argent ou des obligations réglementaires, avec détection lente.</w:t>
      </w:r>
    </w:p>
    <w:p>
      <w:r>
        <w:rPr>
          <w:b/>
        </w:rPr>
        <w:t xml:space="preserve">Critique — </w:t>
      </w:r>
      <w:r>
        <w:t>Erreurs irréversibles ou touchant la sécurité des personnes, des montants importants ou la conformité, à un volume élevé, avec détection incertaine. Exige validation humaine, déploiement progressif et interrupteur d'arrêt testé.</w:t>
      </w:r>
    </w:p>
    <w:p>
      <w:pPr>
        <w:pStyle w:val="Heading1"/>
      </w:pPr>
      <w:r>
        <w:t>Tableau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40"/>
        <w:gridCol w:w="936"/>
        <w:gridCol w:w="1584"/>
        <w:gridCol w:w="936"/>
        <w:gridCol w:w="1008"/>
        <w:gridCol w:w="1080"/>
        <w:gridCol w:w="1368"/>
        <w:gridCol w:w="1368"/>
        <w:gridCol w:w="792"/>
        <w:gridCol w:w="936"/>
        <w:gridCol w:w="1584"/>
        <w:gridCol w:w="1008"/>
      </w:tblGrid>
      <w:tr>
        <w:tc>
          <w:tcPr>
            <w:tcW w:type="dxa" w:w="1440"/>
            <w:shd w:val="clear" w:color="auto" w:fill="E6EEF8"/>
          </w:tcPr>
          <w:p>
            <w:r>
              <w:rPr>
                <w:b/>
                <w:sz w:val="17"/>
              </w:rPr>
              <w:t>Agent / automatisation</w:t>
            </w:r>
          </w:p>
        </w:tc>
        <w:tc>
          <w:tcPr>
            <w:tcW w:type="dxa" w:w="936"/>
            <w:shd w:val="clear" w:color="auto" w:fill="E6EEF8"/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584"/>
            <w:shd w:val="clear" w:color="auto" w:fill="E6EEF8"/>
          </w:tcPr>
          <w:p>
            <w:r>
              <w:rPr>
                <w:b/>
                <w:sz w:val="17"/>
              </w:rPr>
              <w:t>Périmètre : autorisé contre observé</w:t>
            </w:r>
          </w:p>
        </w:tc>
        <w:tc>
          <w:tcPr>
            <w:tcW w:type="dxa" w:w="936"/>
            <w:shd w:val="clear" w:color="auto" w:fill="E6EEF8"/>
          </w:tcPr>
          <w:p>
            <w:r>
              <w:rPr>
                <w:b/>
                <w:sz w:val="17"/>
              </w:rPr>
              <w:t>Dérive (aucune / mineure / importante)</w:t>
            </w:r>
          </w:p>
        </w:tc>
        <w:tc>
          <w:tcPr>
            <w:tcW w:type="dxa" w:w="1008"/>
            <w:shd w:val="clear" w:color="auto" w:fill="E6EEF8"/>
          </w:tcPr>
          <w:p>
            <w:r>
              <w:rPr>
                <w:b/>
                <w:sz w:val="17"/>
              </w:rPr>
              <w:t>Coût d'exploitation mensuel</w:t>
            </w:r>
          </w:p>
        </w:tc>
        <w:tc>
          <w:tcPr>
            <w:tcW w:type="dxa" w:w="1080"/>
            <w:shd w:val="clear" w:color="auto" w:fill="E6EEF8"/>
          </w:tcPr>
          <w:p>
            <w:r>
              <w:rPr>
                <w:b/>
                <w:sz w:val="17"/>
              </w:rPr>
              <w:t>Valeur évitée mensuelle</w:t>
            </w:r>
          </w:p>
        </w:tc>
        <w:tc>
          <w:tcPr>
            <w:tcW w:type="dxa" w:w="1368"/>
            <w:shd w:val="clear" w:color="auto" w:fill="E6EEF8"/>
          </w:tcPr>
          <w:p>
            <w:r>
              <w:rPr>
                <w:b/>
                <w:sz w:val="17"/>
              </w:rPr>
              <w:t>Exactitude (échantillon) contre référence humaine</w:t>
            </w:r>
          </w:p>
        </w:tc>
        <w:tc>
          <w:tcPr>
            <w:tcW w:type="dxa" w:w="1368"/>
            <w:shd w:val="clear" w:color="auto" w:fill="E6EEF8"/>
          </w:tcPr>
          <w:p>
            <w:r>
              <w:rPr>
                <w:b/>
                <w:sz w:val="17"/>
              </w:rPr>
              <w:t>Gravité du pire cas · réversible ?</w:t>
            </w:r>
          </w:p>
        </w:tc>
        <w:tc>
          <w:tcPr>
            <w:tcW w:type="dxa" w:w="792"/>
            <w:shd w:val="clear" w:color="auto" w:fill="E6EEF8"/>
          </w:tcPr>
          <w:p>
            <w:r>
              <w:rPr>
                <w:b/>
                <w:sz w:val="17"/>
              </w:rPr>
              <w:t>Délai de détection</w:t>
            </w:r>
          </w:p>
        </w:tc>
        <w:tc>
          <w:tcPr>
            <w:tcW w:type="dxa" w:w="936"/>
            <w:shd w:val="clear" w:color="auto" w:fill="E6EEF8"/>
          </w:tcPr>
          <w:p>
            <w:r>
              <w:rPr>
                <w:b/>
                <w:sz w:val="17"/>
              </w:rPr>
              <w:t>Cote de rayon d'impact</w:t>
            </w:r>
          </w:p>
        </w:tc>
        <w:tc>
          <w:tcPr>
            <w:tcW w:type="dxa" w:w="1584"/>
            <w:shd w:val="clear" w:color="auto" w:fill="E6EEF8"/>
          </w:tcPr>
          <w:p>
            <w:r>
              <w:rPr>
                <w:b/>
                <w:sz w:val="17"/>
              </w:rPr>
              <w:t>Écart de confinement</w:t>
            </w:r>
          </w:p>
        </w:tc>
        <w:tc>
          <w:tcPr>
            <w:tcW w:type="dxa" w:w="1008"/>
            <w:shd w:val="clear" w:color="auto" w:fill="E6EEF8"/>
          </w:tcPr>
          <w:p>
            <w:r>
              <w:rPr>
                <w:b/>
                <w:sz w:val="17"/>
              </w:rPr>
              <w:t>Prochaine revue</w:t>
            </w:r>
          </w:p>
        </w:tc>
      </w:tr>
      <w:tr>
        <w:tc>
          <w:tcPr>
            <w:tcW w:type="dxa" w:w="1440"/>
          </w:tcPr>
          <w:p>
            <w:r>
              <w:rPr>
                <w:i/>
                <w:color w:val="56656F"/>
                <w:sz w:val="17"/>
              </w:rPr>
              <w:t>Agent de tri des courriels clients</w:t>
            </w:r>
          </w:p>
        </w:tc>
        <w:tc>
          <w:tcPr>
            <w:tcW w:type="dxa" w:w="936"/>
          </w:tcPr>
          <w:p>
            <w:r>
              <w:rPr>
                <w:i/>
                <w:color w:val="56656F"/>
                <w:sz w:val="17"/>
              </w:rPr>
              <w:t>Responsable du soutien</w:t>
            </w:r>
          </w:p>
        </w:tc>
        <w:tc>
          <w:tcPr>
            <w:tcW w:type="dxa" w:w="1584"/>
          </w:tcPr>
          <w:p>
            <w:r>
              <w:rPr>
                <w:i/>
                <w:color w:val="56656F"/>
                <w:sz w:val="17"/>
              </w:rPr>
              <w:t>Autorisé : classer et suggérer. Observé : envoie aussi des réponses automatiques</w:t>
            </w:r>
          </w:p>
        </w:tc>
        <w:tc>
          <w:tcPr>
            <w:tcW w:type="dxa" w:w="936"/>
          </w:tcPr>
          <w:p>
            <w:r>
              <w:rPr>
                <w:i/>
                <w:color w:val="56656F"/>
                <w:sz w:val="17"/>
              </w:rPr>
              <w:t>Importante</w:t>
            </w:r>
          </w:p>
        </w:tc>
        <w:tc>
          <w:tcPr>
            <w:tcW w:type="dxa" w:w="1008"/>
          </w:tcPr>
          <w:p>
            <w:r>
              <w:rPr>
                <w:i/>
                <w:color w:val="56656F"/>
                <w:sz w:val="17"/>
              </w:rPr>
              <w:t>4 000 $</w:t>
            </w:r>
          </w:p>
        </w:tc>
        <w:tc>
          <w:tcPr>
            <w:tcW w:type="dxa" w:w="1080"/>
          </w:tcPr>
          <w:p>
            <w:r>
              <w:rPr>
                <w:i/>
                <w:color w:val="56656F"/>
                <w:sz w:val="17"/>
              </w:rPr>
              <w:t>9 000 $</w:t>
            </w:r>
          </w:p>
        </w:tc>
        <w:tc>
          <w:tcPr>
            <w:tcW w:type="dxa" w:w="1368"/>
          </w:tcPr>
          <w:p>
            <w:r>
              <w:rPr>
                <w:i/>
                <w:color w:val="56656F"/>
                <w:sz w:val="17"/>
              </w:rPr>
              <w:t>92 % (n = 200) contre 96 % humain</w:t>
            </w:r>
          </w:p>
        </w:tc>
        <w:tc>
          <w:tcPr>
            <w:tcW w:type="dxa" w:w="1368"/>
          </w:tcPr>
          <w:p>
            <w:r>
              <w:rPr>
                <w:i/>
                <w:color w:val="56656F"/>
                <w:sz w:val="17"/>
              </w:rPr>
              <w:t>Moyenne · en partie irréversible (courriel envoyé)</w:t>
            </w:r>
          </w:p>
        </w:tc>
        <w:tc>
          <w:tcPr>
            <w:tcW w:type="dxa" w:w="792"/>
          </w:tcPr>
          <w:p>
            <w:r>
              <w:rPr>
                <w:i/>
                <w:color w:val="56656F"/>
                <w:sz w:val="17"/>
              </w:rPr>
              <w:t>3 jours</w:t>
            </w:r>
          </w:p>
        </w:tc>
        <w:tc>
          <w:tcPr>
            <w:tcW w:type="dxa" w:w="936"/>
          </w:tcPr>
          <w:p>
            <w:r>
              <w:rPr>
                <w:i/>
                <w:color w:val="56656F"/>
                <w:sz w:val="17"/>
              </w:rPr>
              <w:t>Élevée</w:t>
            </w:r>
          </w:p>
        </w:tc>
        <w:tc>
          <w:tcPr>
            <w:tcW w:type="dxa" w:w="1584"/>
          </w:tcPr>
          <w:p>
            <w:r>
              <w:rPr>
                <w:i/>
                <w:color w:val="56656F"/>
                <w:sz w:val="17"/>
              </w:rPr>
              <w:t>Aucune validation avant envoi ; pas d'interrupteur d'arrêt testé</w:t>
            </w:r>
          </w:p>
        </w:tc>
        <w:tc>
          <w:tcPr>
            <w:tcW w:type="dxa" w:w="1008"/>
          </w:tcPr>
          <w:p>
            <w:r>
              <w:rPr>
                <w:i/>
                <w:color w:val="56656F"/>
                <w:sz w:val="17"/>
              </w:rPr>
              <w:t>Dans 3 mois ou au prochain changement de modèle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936"/>
          </w:tcPr>
          <w:p/>
        </w:tc>
        <w:tc>
          <w:tcPr>
            <w:tcW w:type="dxa" w:w="1008"/>
          </w:tcPr>
          <w:p/>
        </w:tc>
        <w:tc>
          <w:tcPr>
            <w:tcW w:type="dxa" w:w="1080"/>
          </w:tcPr>
          <w:p/>
        </w:tc>
        <w:tc>
          <w:tcPr>
            <w:tcW w:type="dxa" w:w="1368"/>
          </w:tcPr>
          <w:p/>
        </w:tc>
        <w:tc>
          <w:tcPr>
            <w:tcW w:type="dxa" w:w="1368"/>
          </w:tcPr>
          <w:p/>
        </w:tc>
        <w:tc>
          <w:tcPr>
            <w:tcW w:type="dxa" w:w="792"/>
          </w:tcPr>
          <w:p/>
        </w:tc>
        <w:tc>
          <w:tcPr>
            <w:tcW w:type="dxa" w:w="936"/>
          </w:tcPr>
          <w:p/>
        </w:tc>
        <w:tc>
          <w:tcPr>
            <w:tcW w:type="dxa" w:w="1584"/>
          </w:tcPr>
          <w:p/>
        </w:tc>
        <w:tc>
          <w:tcPr>
            <w:tcW w:type="dxa" w:w="1008"/>
          </w:tcPr>
          <w:p/>
        </w:tc>
      </w:tr>
    </w:tbl>
    <w:p>
      <w:r>
        <w:rPr>
          <w:i/>
          <w:sz w:val="17"/>
        </w:rPr>
        <w:t>La première ligne est un exemple fictif.</w:t>
      </w:r>
    </w:p>
    <w:p>
      <w:pPr>
        <w:pStyle w:val="Heading1"/>
      </w:pPr>
      <w:r>
        <w:t>Conseils</w:t>
      </w:r>
    </w:p>
    <w:p>
      <w:pPr>
        <w:pStyle w:val="ListBullet"/>
      </w:pPr>
      <w:r>
        <w:rPr>
          <w:b/>
        </w:rPr>
        <w:t xml:space="preserve">Commencez par l'inventaire. </w:t>
      </w:r>
      <w:r>
        <w:t>Vous ne pouvez pas auditer ce que vous ne connaissez pas. Incluez les agents adoptés par les équipes sans passer par la TI.</w:t>
      </w:r>
    </w:p>
    <w:p>
      <w:pPr>
        <w:pStyle w:val="ListBullet"/>
      </w:pPr>
      <w:r>
        <w:rPr>
          <w:b/>
        </w:rPr>
        <w:t xml:space="preserve">Mesurez la valeur, ne la supposez pas. </w:t>
      </w:r>
      <w:r>
        <w:t>Remplacez l'estimation de l'analyse de rentabilité par des coûts réels et un échantillon revu à la main.</w:t>
      </w:r>
    </w:p>
    <w:p>
      <w:pPr>
        <w:pStyle w:val="ListBullet"/>
      </w:pPr>
      <w:r>
        <w:rPr>
          <w:b/>
        </w:rPr>
        <w:t xml:space="preserve">Cotez le pire cas. </w:t>
      </w:r>
      <w:r>
        <w:t>Le rayon d'impact se juge sur ce qui peut aller mal, au volume réel, avant qu'un humain s'en aperçoive, pas sur la moyenne.</w:t>
      </w:r>
    </w:p>
    <w:p>
      <w:pPr>
        <w:pStyle w:val="ListBullet"/>
      </w:pPr>
      <w:r>
        <w:rPr>
          <w:b/>
        </w:rPr>
        <w:t xml:space="preserve">Comparez les contrôles à la cote. </w:t>
      </w:r>
      <w:r>
        <w:t>Une cote critique exige plus qu'une revue occasionnelle. Notez l'écart entre les contrôles existants et ceux que la cote demande.</w:t>
      </w:r>
    </w:p>
    <w:sectPr w:rsidR="00FC693F" w:rsidRPr="0006063C" w:rsidSect="00034616">
      <w:footerReference w:type="default" r:id="rId9"/>
      <w:pgSz w:w="15840" w:h="12240" w:orient="landscape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56F"/>
        <w:sz w:val="16"/>
      </w:rPr>
      <w:t>FZ Consultation · fzconsultation.xyz · Modèle général, ne constitue pas un avis juridique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6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52B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 Consultation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</dc:language>
</cp:coreProperties>
</file>