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Liste de vérification : réponse à un rançongiciel</w:t>
      </w:r>
    </w:p>
    <w:p>
      <w:r>
        <w:rPr>
          <w:color w:val="56656F"/>
          <w:sz w:val="23"/>
        </w:rPr>
        <w:t>À imprimer et à ranger avec votre plan d'intervention, hors de vos systèmes habituels. Elle suppose que vos systèmes principaux peuvent être inaccessibles.</w:t>
      </w:r>
    </w:p>
    <w:p>
      <w:r>
        <w:rPr>
          <w:i/>
          <w:color w:val="56656F"/>
          <w:sz w:val="18"/>
        </w:rPr>
        <w:t>Modèle général fourni comme point de départ. Adaptez-le à votre organisation et faites-le valider par vos conseillers juridiques, de conformité et de sécurité avant usage. Il ne constitue pas un avis juridique.</w:t>
      </w:r>
    </w:p>
    <w:p>
      <w:r>
        <w:t>Utilisez cette liste comme aide-mémoire, pas comme plan complet. Les décisions de fond (payer ou non, notifier qui, redémarrer quand) appartiennent à votre direction, avec vos conseillers juridiques et votre assureur. Préparez les coordonnées à l'avance : en pleine crise, personne ne retrouve un numéro de téléphone.</w:t>
      </w:r>
    </w:p>
    <w:p>
      <w:pPr>
        <w:pStyle w:val="Heading1"/>
      </w:pPr>
      <w:r>
        <w:t>1. Dans la première heure : contenir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76"/>
        <w:gridCol w:w="6336"/>
        <w:gridCol w:w="3024"/>
      </w:tblGrid>
      <w:tr>
        <w:tc>
          <w:tcPr>
            <w:tcW w:type="dxa" w:w="576"/>
            <w:shd w:val="clear" w:color="auto" w:fill="E6EEF8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6336"/>
            <w:shd w:val="clear" w:color="auto" w:fill="E6EEF8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3024"/>
            <w:shd w:val="clear" w:color="auto" w:fill="E6EEF8"/>
          </w:tcPr>
          <w:p>
            <w:r>
              <w:rPr>
                <w:b/>
                <w:sz w:val="18"/>
              </w:rPr>
              <w:t>Responsable / heure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6336"/>
          </w:tcPr>
          <w:p>
            <w:r>
              <w:t>Isolez les appareils touchés du réseau (débranchez le câble, coupez le Wi-Fi) sans les éteindre, afin de préserver les preuves en mémoire.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6336"/>
          </w:tcPr>
          <w:p>
            <w:r>
              <w:t>Désactivez les comptes compromis et, si nécessaire, coupez les accès à distance (VPN, bureau à distance).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6336"/>
          </w:tcPr>
          <w:p>
            <w:r>
              <w:t>Protégez les sauvegardes : déconnectez-les ou verrouillez-les avant qu'elles ne soient chiffrées ou effacées.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6336"/>
          </w:tcPr>
          <w:p>
            <w:r>
              <w:t>Activez votre équipe de crise et ouvrez un journal horodaté de chaque constat et décision.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6336"/>
          </w:tcPr>
          <w:p>
            <w:r>
              <w:t>Communiquez hors bande (téléphone, messagerie personnelle) : supposez que votre courriel et votre clavardage sont lus par l'attaquant.</w:t>
            </w:r>
          </w:p>
        </w:tc>
        <w:tc>
          <w:tcPr>
            <w:tcW w:type="dxa" w:w="3024"/>
          </w:tcPr>
          <w:p>
            <w:r/>
          </w:p>
        </w:tc>
      </w:tr>
    </w:tbl>
    <w:p>
      <w:pPr>
        <w:pStyle w:val="Heading1"/>
      </w:pPr>
      <w:r>
        <w:t>2. Dans les 24 premières heures : évaluer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76"/>
        <w:gridCol w:w="6336"/>
        <w:gridCol w:w="3024"/>
      </w:tblGrid>
      <w:tr>
        <w:tc>
          <w:tcPr>
            <w:tcW w:type="dxa" w:w="576"/>
            <w:shd w:val="clear" w:color="auto" w:fill="E6EEF8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6336"/>
            <w:shd w:val="clear" w:color="auto" w:fill="E6EEF8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3024"/>
            <w:shd w:val="clear" w:color="auto" w:fill="E6EEF8"/>
          </w:tcPr>
          <w:p>
            <w:r>
              <w:rPr>
                <w:b/>
                <w:sz w:val="18"/>
              </w:rPr>
              <w:t>Responsable / heure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6336"/>
          </w:tcPr>
          <w:p>
            <w:r>
              <w:t>Identifiez ce qui est touché : systèmes, données, sites, fournisseurs et clients concernés.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6336"/>
          </w:tcPr>
          <w:p>
            <w:r>
              <w:t>Repérez le point d'entrée probable et vérifiez si des données ont été copiées avant le chiffrement (double extorsion).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6336"/>
          </w:tcPr>
          <w:p>
            <w:r>
              <w:t>Faites un instantané de ce qui est touché (images disques, journaux) avant toute remise en état.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6336"/>
          </w:tcPr>
          <w:p>
            <w:r>
              <w:t>Prévenez votre assureur cyber et votre cabinet juridique ; respectez les délais de déclaration de votre police.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6336"/>
          </w:tcPr>
          <w:p>
            <w:r>
              <w:t>Faites appel à une équipe d'intervention sur incident, interne ou externe, si vous n'avez pas l'expertise.</w:t>
            </w:r>
          </w:p>
        </w:tc>
        <w:tc>
          <w:tcPr>
            <w:tcW w:type="dxa" w:w="3024"/>
          </w:tcPr>
          <w:p>
            <w:r/>
          </w:p>
        </w:tc>
      </w:tr>
    </w:tbl>
    <w:p>
      <w:pPr>
        <w:pStyle w:val="Heading1"/>
      </w:pPr>
      <w:r>
        <w:t>3. Décisions et notifications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76"/>
        <w:gridCol w:w="6336"/>
        <w:gridCol w:w="3024"/>
      </w:tblGrid>
      <w:tr>
        <w:tc>
          <w:tcPr>
            <w:tcW w:type="dxa" w:w="576"/>
            <w:shd w:val="clear" w:color="auto" w:fill="E6EEF8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6336"/>
            <w:shd w:val="clear" w:color="auto" w:fill="E6EEF8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3024"/>
            <w:shd w:val="clear" w:color="auto" w:fill="E6EEF8"/>
          </w:tcPr>
          <w:p>
            <w:r>
              <w:rPr>
                <w:b/>
                <w:sz w:val="18"/>
              </w:rPr>
              <w:t>Responsable / heure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6336"/>
          </w:tcPr>
          <w:p>
            <w:r>
              <w:t>Signalez l'incident aux autorités policières et aux organismes de cybersécurité compétents de votre pays.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6336"/>
          </w:tcPr>
          <w:p>
            <w:r>
              <w:t>Déterminez les obligations de notification : régulateurs, personnes touchées, clients, partenaires (DORA, NIS2, RGPD, Loi 25, règles sectorielles).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6336"/>
          </w:tcPr>
          <w:p>
            <w:r>
              <w:t>Consignez la décision sur la rançon : qui décide, sur quelle base, avec quels conseils. Vérifiez au préalable les risques de sanctions.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6336"/>
          </w:tcPr>
          <w:p>
            <w:r>
              <w:t>Préparez une communication unique et factuelle pour le personnel, les clients et les médias.</w:t>
            </w:r>
          </w:p>
        </w:tc>
        <w:tc>
          <w:tcPr>
            <w:tcW w:type="dxa" w:w="3024"/>
          </w:tcPr>
          <w:p>
            <w:r/>
          </w:p>
        </w:tc>
      </w:tr>
    </w:tbl>
    <w:p>
      <w:pPr>
        <w:pStyle w:val="Heading1"/>
      </w:pPr>
      <w:r>
        <w:t>4. Reprise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76"/>
        <w:gridCol w:w="6336"/>
        <w:gridCol w:w="3024"/>
      </w:tblGrid>
      <w:tr>
        <w:tc>
          <w:tcPr>
            <w:tcW w:type="dxa" w:w="576"/>
            <w:shd w:val="clear" w:color="auto" w:fill="E6EEF8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6336"/>
            <w:shd w:val="clear" w:color="auto" w:fill="E6EEF8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3024"/>
            <w:shd w:val="clear" w:color="auto" w:fill="E6EEF8"/>
          </w:tcPr>
          <w:p>
            <w:r>
              <w:rPr>
                <w:b/>
                <w:sz w:val="18"/>
              </w:rPr>
              <w:t>Responsable / heure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6336"/>
          </w:tcPr>
          <w:p>
            <w:r>
              <w:t>Rebâtissez à partir de sources saines : images validées, sauvegardes testées et analysées avant restauration.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6336"/>
          </w:tcPr>
          <w:p>
            <w:r>
              <w:t>Réinitialisez tous les identifiants (comptes de service, administrateurs, clés d'accès) avant de reconnecter quoi que ce soit.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6336"/>
          </w:tcPr>
          <w:p>
            <w:r>
              <w:t>Restaurez par ordre de priorité d'affaires, en vous appuyant sur vos analyses d'impact et vos objectifs de reprise (RTO/RPO).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6336"/>
          </w:tcPr>
          <w:p>
            <w:r>
              <w:t>Surveillez de près les systèmes restaurés : l'attaquant peut avoir laissé des accès persistants.</w:t>
            </w:r>
          </w:p>
        </w:tc>
        <w:tc>
          <w:tcPr>
            <w:tcW w:type="dxa" w:w="3024"/>
          </w:tcPr>
          <w:p>
            <w:r/>
          </w:p>
        </w:tc>
      </w:tr>
    </w:tbl>
    <w:p>
      <w:pPr>
        <w:pStyle w:val="Heading1"/>
      </w:pPr>
      <w:r>
        <w:t>5. Après l'incident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76"/>
        <w:gridCol w:w="6336"/>
        <w:gridCol w:w="3024"/>
      </w:tblGrid>
      <w:tr>
        <w:tc>
          <w:tcPr>
            <w:tcW w:type="dxa" w:w="576"/>
            <w:shd w:val="clear" w:color="auto" w:fill="E6EEF8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6336"/>
            <w:shd w:val="clear" w:color="auto" w:fill="E6EEF8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3024"/>
            <w:shd w:val="clear" w:color="auto" w:fill="E6EEF8"/>
          </w:tcPr>
          <w:p>
            <w:r>
              <w:rPr>
                <w:b/>
                <w:sz w:val="18"/>
              </w:rPr>
              <w:t>Responsable / heure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6336"/>
          </w:tcPr>
          <w:p>
            <w:r>
              <w:t>Tenez un retour d'expérience sans reproche dans les deux à quatre semaines suivantes.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6336"/>
          </w:tcPr>
          <w:p>
            <w:r>
              <w:t>Corrigez la cause racine et les écarts constatés (accès, segmentation, sauvegardes, détection).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6336"/>
          </w:tcPr>
          <w:p>
            <w:r>
              <w:t>Mettez à jour le plan d'intervention, les coordonnées et les scénarios d'exercice.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6336"/>
          </w:tcPr>
          <w:p>
            <w:r>
              <w:t>Planifiez un exercice qui rejoue le scénario pour confirmer que les correctifs fonctionnent.</w:t>
            </w:r>
          </w:p>
        </w:tc>
        <w:tc>
          <w:tcPr>
            <w:tcW w:type="dxa" w:w="3024"/>
          </w:tcPr>
          <w:p>
            <w:r/>
          </w:p>
        </w:tc>
      </w:tr>
    </w:tbl>
    <w:p>
      <w:pPr>
        <w:pStyle w:val="Heading1"/>
      </w:pPr>
      <w:r>
        <w:t>Contacts d'urgence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176"/>
        <w:gridCol w:w="2880"/>
        <w:gridCol w:w="2880"/>
      </w:tblGrid>
      <w:tr>
        <w:tc>
          <w:tcPr>
            <w:tcW w:type="dxa" w:w="4176"/>
            <w:shd w:val="clear" w:color="auto" w:fill="E6EEF8"/>
          </w:tcPr>
          <w:p>
            <w:r>
              <w:rPr>
                <w:b/>
              </w:rPr>
              <w:t>Rôle</w:t>
            </w:r>
          </w:p>
        </w:tc>
        <w:tc>
          <w:tcPr>
            <w:tcW w:type="dxa" w:w="2880"/>
            <w:shd w:val="clear" w:color="auto" w:fill="E6EEF8"/>
          </w:tcPr>
          <w:p>
            <w:r>
              <w:rPr>
                <w:b/>
              </w:rPr>
              <w:t>Nom</w:t>
            </w:r>
          </w:p>
        </w:tc>
        <w:tc>
          <w:tcPr>
            <w:tcW w:type="dxa" w:w="2880"/>
            <w:shd w:val="clear" w:color="auto" w:fill="E6EEF8"/>
          </w:tcPr>
          <w:p>
            <w:r>
              <w:rPr>
                <w:b/>
              </w:rPr>
              <w:t>Téléphone (hors bande)</w:t>
            </w:r>
          </w:p>
        </w:tc>
      </w:tr>
      <w:tr>
        <w:tc>
          <w:tcPr>
            <w:tcW w:type="dxa" w:w="4176"/>
          </w:tcPr>
          <w:p>
            <w:r>
              <w:t>Direction / responsable de crise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4176"/>
          </w:tcPr>
          <w:p>
            <w:r>
              <w:t>Fournisseur d'intervention sur incident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4176"/>
          </w:tcPr>
          <w:p>
            <w:r>
              <w:t>Assureur cyber (numéro de police)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4176"/>
          </w:tcPr>
          <w:p>
            <w:r>
              <w:t>Conseiller juridique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4176"/>
          </w:tcPr>
          <w:p>
            <w:r>
              <w:t>Autorité de cybersécurité / police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4176"/>
          </w:tcPr>
          <w:p>
            <w:r>
              <w:t>Hébergeur / infonuagique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t>Sources</w:t>
      </w:r>
    </w:p>
    <w:p>
      <w:pPr>
        <w:pStyle w:val="ListBullet"/>
      </w:pPr>
      <w:r>
        <w:t>CISA — #StopRansomware Guide — https://www.cisa.gov/stopransomware/ransomware-guide</w:t>
      </w:r>
    </w:p>
    <w:p>
      <w:pPr>
        <w:pStyle w:val="ListBullet"/>
      </w:pPr>
      <w:r>
        <w:t>NCSC (UK) — Mitigating malware and ransomware attacks — https://www.ncsc.gov.uk/guidance/mitigating-malware-and-ransomware-attacks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6656F"/>
        <w:sz w:val="16"/>
      </w:rPr>
      <w:t>FZ Consultation · fzconsultation.xyz · Modèle général, ne constitue pas un avis juridique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 w:eastAsia="Arial"/>
      <w:color w:val="1622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52B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52B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52B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FZ Consultation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</dc:language>
</cp:coreProperties>
</file>