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Modèle de politique d'utilisation acceptable de l'IA</w:t>
      </w:r>
    </w:p>
    <w:p>
      <w:r>
        <w:rPr>
          <w:color w:val="56656F"/>
          <w:sz w:val="23"/>
        </w:rPr>
        <w:t>Une base à personnaliser pour dire clairement aux équipes ce qui est permis, ce qui est interdit et qui est responsable.</w:t>
      </w:r>
    </w:p>
    <w:p>
      <w:r>
        <w:rPr>
          <w:i/>
          <w:color w:val="56656F"/>
          <w:sz w:val="18"/>
        </w:rPr>
        <w:t>Modèle général fourni comme point de départ. Adaptez-le à votre organisation et faites-le valider par vos conseillers juridiques, de conformité et de sécurité avant usage. Il ne constitue pas un avis juridique.</w:t>
      </w:r>
    </w:p>
    <w:p>
      <w:r>
        <w:t>Les passages entre crochets sont à remplir ou à adapter. Faites valider le texte par vos services juridique, des ressources humaines et de la sécurité. Une politique que personne ne lit ne protège rien : accompagnez-la d'une courte formation et d'une liste d'outils approuvés tenue à jour.</w:t>
      </w:r>
    </w:p>
    <w:tbl>
      <w:tblPr>
        <w:tblStyle w:val="TableGrid"/>
        <w:tblW w:type="auto" w:w="0"/>
        <w:tblLayout w:type="fixed"/>
        <w:tblLook w:firstColumn="1" w:firstRow="1" w:lastColumn="0" w:lastRow="0" w:noHBand="0" w:noVBand="1" w:val="04A0"/>
        <w:tblLayout w:type="fixed"/>
      </w:tblPr>
      <w:tblGrid>
        <w:gridCol w:w="2880"/>
        <w:gridCol w:w="7056"/>
      </w:tblGrid>
      <w:tr>
        <w:tc>
          <w:tcPr>
            <w:tcW w:type="dxa" w:w="2880"/>
            <w:shd w:val="clear" w:color="auto" w:fill="E6EEF8"/>
          </w:tcPr>
          <w:p>
            <w:r>
              <w:t>Organisation</w:t>
            </w:r>
          </w:p>
        </w:tc>
        <w:tc>
          <w:tcPr>
            <w:tcW w:type="dxa" w:w="7056"/>
          </w:tcPr>
          <w:p>
            <w:r>
              <w:t>[Nom de l'organisation]</w:t>
            </w:r>
          </w:p>
        </w:tc>
      </w:tr>
      <w:tr>
        <w:tc>
          <w:tcPr>
            <w:tcW w:type="dxa" w:w="2880"/>
            <w:shd w:val="clear" w:color="auto" w:fill="E6EEF8"/>
          </w:tcPr>
          <w:p>
            <w:r>
              <w:t>Version</w:t>
            </w:r>
          </w:p>
        </w:tc>
        <w:tc>
          <w:tcPr>
            <w:tcW w:type="dxa" w:w="7056"/>
          </w:tcPr>
          <w:p>
            <w:r>
              <w:t>[1.0]</w:t>
            </w:r>
          </w:p>
        </w:tc>
      </w:tr>
      <w:tr>
        <w:tc>
          <w:tcPr>
            <w:tcW w:type="dxa" w:w="2880"/>
            <w:shd w:val="clear" w:color="auto" w:fill="E6EEF8"/>
          </w:tcPr>
          <w:p>
            <w:r>
              <w:t>Date d'entrée en vigueur</w:t>
            </w:r>
          </w:p>
        </w:tc>
        <w:tc>
          <w:tcPr>
            <w:tcW w:type="dxa" w:w="7056"/>
          </w:tcPr>
          <w:p>
            <w:r>
              <w:t>[date]</w:t>
            </w:r>
          </w:p>
        </w:tc>
      </w:tr>
      <w:tr>
        <w:tc>
          <w:tcPr>
            <w:tcW w:type="dxa" w:w="2880"/>
            <w:shd w:val="clear" w:color="auto" w:fill="E6EEF8"/>
          </w:tcPr>
          <w:p>
            <w:r>
              <w:t>Propriétaire</w:t>
            </w:r>
          </w:p>
        </w:tc>
        <w:tc>
          <w:tcPr>
            <w:tcW w:type="dxa" w:w="7056"/>
          </w:tcPr>
          <w:p>
            <w:r>
              <w:t>[fonction]</w:t>
            </w:r>
          </w:p>
        </w:tc>
      </w:tr>
    </w:tbl>
    <w:p>
      <w:pPr>
        <w:pStyle w:val="Heading1"/>
      </w:pPr>
      <w:r>
        <w:t>1. Objet et portée</w:t>
      </w:r>
    </w:p>
    <w:p>
      <w:r>
        <w:t>Cette politique encadre l'utilisation d'outils d'intelligence artificielle, y compris l'IA générative et les agents autonomes, par le personnel, les sous-traitants et les stagiaires de [Nom de l'organisation], dans le cadre de leur travail.</w:t>
      </w:r>
    </w:p>
    <w:p>
      <w:pPr>
        <w:pStyle w:val="Heading1"/>
      </w:pPr>
      <w:r>
        <w:t>2. Définitions</w:t>
      </w:r>
    </w:p>
    <w:p>
      <w:r>
        <w:t>« Outil d'IA » : tout service ou logiciel qui génère du contenu, formule des recommandations ou prend des décisions à partir de modèles d'apprentissage. « Agent » : outil d'IA qui exécute des actions (envoyer, modifier, acheter, déployer) sans validation à chaque étape.</w:t>
      </w:r>
    </w:p>
    <w:p>
      <w:pPr>
        <w:pStyle w:val="Heading1"/>
      </w:pPr>
      <w:r>
        <w:t>3. Outils approuvés</w:t>
      </w:r>
    </w:p>
    <w:p>
      <w:r>
        <w:t>Seuls les outils inscrits au [registre des outils d'IA approuvés] peuvent être utilisés avec des données de l'organisation. Toute nouvelle demande passe par [le responsable désigné] avant utilisation.</w:t>
      </w:r>
    </w:p>
    <w:p>
      <w:pPr>
        <w:pStyle w:val="Heading1"/>
      </w:pPr>
      <w:r>
        <w:t>4. Données permises et interdites</w:t>
      </w:r>
    </w:p>
    <w:p>
      <w:r>
        <w:t>Il est interdit de saisir dans un outil non approuvé : renseignements personnels, données de clients, secrets commerciaux, code source confidentiel, informations financières non publiques, identifiants et clés d'accès. Les données de classification [interne] peuvent être utilisées uniquement dans les outils approuvés pour ce niveau.</w:t>
      </w:r>
    </w:p>
    <w:p>
      <w:pPr>
        <w:pStyle w:val="Heading1"/>
      </w:pPr>
      <w:r>
        <w:t>5. Supervision humaine et responsabilité</w:t>
      </w:r>
    </w:p>
    <w:p>
      <w:r>
        <w:t>Vous restez responsable de tout contenu ou toute décision issus de l'IA que vous utilisez. Vérifiez les faits, les sources et les chiffres avant diffusion. Aucune décision ayant un effet important sur une personne (embauche, crédit, discipline, santé) ne peut être prise uniquement par un outil d'IA.</w:t>
      </w:r>
    </w:p>
    <w:p>
      <w:pPr>
        <w:pStyle w:val="Heading1"/>
      </w:pPr>
      <w:r>
        <w:t>6. Agents et automatisation</w:t>
      </w:r>
    </w:p>
    <w:p>
      <w:r>
        <w:t>Chaque agent a un propriétaire nommé, une identité distincte, des accès réduits au strict nécessaire, une journalisation de ses actions et un moyen de l'arrêter rapidement. Les actions irréversibles ou à fort impact exigent une approbation humaine.</w:t>
      </w:r>
    </w:p>
    <w:p>
      <w:pPr>
        <w:pStyle w:val="Heading1"/>
      </w:pPr>
      <w:r>
        <w:t>7. Transparence</w:t>
      </w:r>
    </w:p>
    <w:p>
      <w:r>
        <w:t>Indiquez quand un contenu a été produit ou substantiellement modifié par l'IA lorsque cela peut influencer la confiance de son destinataire, et lorsque la loi ou un contrat l'exige. Informez les clients lorsqu'ils interagissent avec un agent plutôt qu'avec une personne.</w:t>
      </w:r>
    </w:p>
    <w:p>
      <w:pPr>
        <w:pStyle w:val="Heading1"/>
      </w:pPr>
      <w:r>
        <w:t>8. Propriété intellectuelle</w:t>
      </w:r>
    </w:p>
    <w:p>
      <w:r>
        <w:t>Ne soumettez pas de contenu protégé par le droit d'auteur dont vous n'avez pas les droits. Vérifiez les conditions d'utilisation des contenus générés avant de les utiliser dans des livrables destinés aux clients.</w:t>
      </w:r>
    </w:p>
    <w:p>
      <w:pPr>
        <w:pStyle w:val="Heading1"/>
      </w:pPr>
      <w:r>
        <w:t>9. Fournisseurs et tiers</w:t>
      </w:r>
    </w:p>
    <w:p>
      <w:r>
        <w:t>Avant d'approuver un outil, vérifiez où les données sont traitées et conservées, si elles servent à entraîner les modèles, les certifications du fournisseur et ses engagements en cas d'incident.</w:t>
      </w:r>
    </w:p>
    <w:p>
      <w:pPr>
        <w:pStyle w:val="Heading1"/>
      </w:pPr>
      <w:r>
        <w:t>10. Signalement des incidents</w:t>
      </w:r>
    </w:p>
    <w:p>
      <w:r>
        <w:t>Signalez immédiatement à [adresse ou service] toute fuite de données, tout comportement inattendu d'un agent ou tout contenu inapproprié produit par un outil. Le signalement de bonne foi ne donne lieu à aucune sanction.</w:t>
      </w:r>
    </w:p>
    <w:p>
      <w:pPr>
        <w:pStyle w:val="Heading1"/>
      </w:pPr>
      <w:r>
        <w:t>11. Formation</w:t>
      </w:r>
    </w:p>
    <w:p>
      <w:r>
        <w:t>Chaque personne suit une formation sur cette politique à l'embauche puis [chaque année].</w:t>
      </w:r>
    </w:p>
    <w:p>
      <w:pPr>
        <w:pStyle w:val="Heading1"/>
      </w:pPr>
      <w:r>
        <w:t>12. Application</w:t>
      </w:r>
    </w:p>
    <w:p>
      <w:r>
        <w:t>Le non-respect de cette politique peut entraîner des mesures allant jusqu'à la fin de l'emploi ou du contrat, selon la gravité et conformément à la loi applicable.</w:t>
      </w:r>
    </w:p>
    <w:p>
      <w:pPr>
        <w:pStyle w:val="Heading1"/>
      </w:pPr>
      <w:r>
        <w:t>13. Révision</w:t>
      </w:r>
    </w:p>
    <w:p>
      <w:r>
        <w:t>Cette politique est revue au moins [tous les six mois] et après tout incident important ou changement réglementaire. Propriétaire : [fonction]. Version : [numéro]. Date : [date].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6656F"/>
        <w:sz w:val="16"/>
      </w:rPr>
      <w:t>FZ Consultation · fzconsultation.xyz · Modèle général, ne constitue pas un avis juridique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olor w:val="1622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52B2"/>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0052B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0052B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FZ Consultation</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