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Liste de vérification : réponse à un rançongiciel</w:t>
      </w:r>
    </w:p>
    <w:p>
      <w:r>
        <w:rPr>
          <w:color w:val="56656F"/>
          <w:sz w:val="23"/>
        </w:rPr>
        <w:t>À imprimer et à ranger avec votre plan d'intervention, hors de vos systèmes habituels. Elle suppose que vos systèmes principaux peuvent être inaccessibles.</w:t>
      </w:r>
    </w:p>
    <w:p>
      <w:r>
        <w:rPr>
          <w:i/>
          <w:color w:val="56656F"/>
          <w:sz w:val="18"/>
        </w:rPr>
        <w:t>Modèle général fourni comme point de départ. Adaptez-le à votre organisation et faites-le valider par vos conseillers juridiques, de conformité et de sécurité avant usage. Il ne constitue pas un avis juridique.</w:t>
      </w:r>
    </w:p>
    <w:p>
      <w:r>
        <w:t>Utilisez cette liste comme aide-mémoire, pas comme plan complet. Les décisions de fond (payer ou non, notifier qui, redémarrer quand) appartiennent à votre direction, avec vos conseillers juridiques et votre assureur. Préparez les coordonnées à l'avance : en pleine crise, personne ne retrouve un numéro de téléphone.</w:t>
      </w:r>
    </w:p>
    <w:p>
      <w:pPr>
        <w:pStyle w:val="Heading1"/>
      </w:pPr>
      <w:r>
        <w:t>1. Dans la première heure : contenir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76"/>
        <w:gridCol w:w="6336"/>
        <w:gridCol w:w="3024"/>
      </w:tblGrid>
      <w:tr>
        <w:tc>
          <w:tcPr>
            <w:tcW w:type="dxa" w:w="576"/>
            <w:shd w:val="clear" w:color="auto" w:fill="E6EEF8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6336"/>
            <w:shd w:val="clear" w:color="auto" w:fill="E6EEF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3024"/>
            <w:shd w:val="clear" w:color="auto" w:fill="E6EEF8"/>
          </w:tcPr>
          <w:p>
            <w:r>
              <w:rPr>
                <w:b/>
                <w:sz w:val="18"/>
              </w:rPr>
              <w:t>Responsable / heure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Isolez les appareils touchés du réseau (débranchez le câble, coupez le Wi-Fi) sans les éteindre, afin de préserver les preuves en mémoire.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Désactivez les comptes compromis et, si nécessaire, coupez les accès à distance (VPN, bureau à distance).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Protégez les sauvegardes : déconnectez-les ou verrouillez-les avant qu'elles ne soient chiffrées ou effacées.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Activez votre équipe de crise et ouvrez un journal horodaté de chaque constat et décision.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Communiquez hors bande (téléphone, messagerie personnelle) : supposez que votre courriel et votre clavardage sont lus par l'attaquant.</w:t>
            </w:r>
          </w:p>
        </w:tc>
        <w:tc>
          <w:tcPr>
            <w:tcW w:type="dxa" w:w="3024"/>
          </w:tcPr>
          <w:p>
            <w:r/>
          </w:p>
        </w:tc>
      </w:tr>
    </w:tbl>
    <w:p>
      <w:pPr>
        <w:pStyle w:val="Heading1"/>
      </w:pPr>
      <w:r>
        <w:t>2. Dans les 24 premières heures : évaluer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76"/>
        <w:gridCol w:w="6336"/>
        <w:gridCol w:w="3024"/>
      </w:tblGrid>
      <w:tr>
        <w:tc>
          <w:tcPr>
            <w:tcW w:type="dxa" w:w="576"/>
            <w:shd w:val="clear" w:color="auto" w:fill="E6EEF8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6336"/>
            <w:shd w:val="clear" w:color="auto" w:fill="E6EEF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3024"/>
            <w:shd w:val="clear" w:color="auto" w:fill="E6EEF8"/>
          </w:tcPr>
          <w:p>
            <w:r>
              <w:rPr>
                <w:b/>
                <w:sz w:val="18"/>
              </w:rPr>
              <w:t>Responsable / heure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Identifiez ce qui est touché : systèmes, données, sites, fournisseurs et clients concernés.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Repérez le point d'entrée probable et vérifiez si des données ont été copiées avant le chiffrement (double extorsion).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Faites un instantané de ce qui est touché (images disques, journaux) avant toute remise en état.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Prévenez votre assureur cyber et votre cabinet juridique ; respectez les délais de déclaration de votre police.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Faites appel à une équipe d'intervention sur incident, interne ou externe, si vous n'avez pas l'expertise.</w:t>
            </w:r>
          </w:p>
        </w:tc>
        <w:tc>
          <w:tcPr>
            <w:tcW w:type="dxa" w:w="3024"/>
          </w:tcPr>
          <w:p>
            <w:r/>
          </w:p>
        </w:tc>
      </w:tr>
    </w:tbl>
    <w:p>
      <w:pPr>
        <w:pStyle w:val="Heading1"/>
      </w:pPr>
      <w:r>
        <w:t>3. Décisions et notifications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76"/>
        <w:gridCol w:w="6336"/>
        <w:gridCol w:w="3024"/>
      </w:tblGrid>
      <w:tr>
        <w:tc>
          <w:tcPr>
            <w:tcW w:type="dxa" w:w="576"/>
            <w:shd w:val="clear" w:color="auto" w:fill="E6EEF8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6336"/>
            <w:shd w:val="clear" w:color="auto" w:fill="E6EEF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3024"/>
            <w:shd w:val="clear" w:color="auto" w:fill="E6EEF8"/>
          </w:tcPr>
          <w:p>
            <w:r>
              <w:rPr>
                <w:b/>
                <w:sz w:val="18"/>
              </w:rPr>
              <w:t>Responsable / heure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Signalez l'incident aux autorités policières et aux organismes de cybersécurité compétents de votre pays.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Déterminez les obligations de notification : régulateurs, personnes touchées, clients, partenaires (DORA, NIS2, RGPD, Loi 25, règles sectorielles).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Consignez la décision sur la rançon : qui décide, sur quelle base, avec quels conseils. Vérifiez au préalable les risques de sanctions.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Préparez une communication unique et factuelle pour le personnel, les clients et les médias.</w:t>
            </w:r>
          </w:p>
        </w:tc>
        <w:tc>
          <w:tcPr>
            <w:tcW w:type="dxa" w:w="3024"/>
          </w:tcPr>
          <w:p>
            <w:r/>
          </w:p>
        </w:tc>
      </w:tr>
    </w:tbl>
    <w:p>
      <w:pPr>
        <w:pStyle w:val="Heading1"/>
      </w:pPr>
      <w:r>
        <w:t>4. Reprise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76"/>
        <w:gridCol w:w="6336"/>
        <w:gridCol w:w="3024"/>
      </w:tblGrid>
      <w:tr>
        <w:tc>
          <w:tcPr>
            <w:tcW w:type="dxa" w:w="576"/>
            <w:shd w:val="clear" w:color="auto" w:fill="E6EEF8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6336"/>
            <w:shd w:val="clear" w:color="auto" w:fill="E6EEF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3024"/>
            <w:shd w:val="clear" w:color="auto" w:fill="E6EEF8"/>
          </w:tcPr>
          <w:p>
            <w:r>
              <w:rPr>
                <w:b/>
                <w:sz w:val="18"/>
              </w:rPr>
              <w:t>Responsable / heure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Rebâtissez à partir de sources saines : images validées, sauvegardes testées et analysées avant restauration.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Réinitialisez tous les identifiants (comptes de service, administrateurs, clés d'accès) avant de reconnecter quoi que ce soit.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Restaurez par ordre de priorité d'affaires, en vous appuyant sur vos analyses d'impact et vos objectifs de reprise (RTO/RPO).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Surveillez de près les systèmes restaurés : l'attaquant peut avoir laissé des accès persistants.</w:t>
            </w:r>
          </w:p>
        </w:tc>
        <w:tc>
          <w:tcPr>
            <w:tcW w:type="dxa" w:w="3024"/>
          </w:tcPr>
          <w:p>
            <w:r/>
          </w:p>
        </w:tc>
      </w:tr>
    </w:tbl>
    <w:p>
      <w:pPr>
        <w:pStyle w:val="Heading1"/>
      </w:pPr>
      <w:r>
        <w:t>5. Après l'incident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76"/>
        <w:gridCol w:w="6336"/>
        <w:gridCol w:w="3024"/>
      </w:tblGrid>
      <w:tr>
        <w:tc>
          <w:tcPr>
            <w:tcW w:type="dxa" w:w="576"/>
            <w:shd w:val="clear" w:color="auto" w:fill="E6EEF8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6336"/>
            <w:shd w:val="clear" w:color="auto" w:fill="E6EEF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3024"/>
            <w:shd w:val="clear" w:color="auto" w:fill="E6EEF8"/>
          </w:tcPr>
          <w:p>
            <w:r>
              <w:rPr>
                <w:b/>
                <w:sz w:val="18"/>
              </w:rPr>
              <w:t>Responsable / heure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Tenez un retour d'expérience sans reproche dans les deux à quatre semaines suivantes.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Corrigez la cause racine et les écarts constatés (accès, segmentation, sauvegardes, détection).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Mettez à jour le plan d'intervention, les coordonnées et les scénarios d'exercice.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Planifiez un exercice qui rejoue le scénario pour confirmer que les correctifs fonctionnent.</w:t>
            </w:r>
          </w:p>
        </w:tc>
        <w:tc>
          <w:tcPr>
            <w:tcW w:type="dxa" w:w="3024"/>
          </w:tcPr>
          <w:p>
            <w:r/>
          </w:p>
        </w:tc>
      </w:tr>
    </w:tbl>
    <w:p>
      <w:pPr>
        <w:pStyle w:val="Heading1"/>
      </w:pPr>
      <w:r>
        <w:t>Contacts d'urgence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176"/>
        <w:gridCol w:w="2880"/>
        <w:gridCol w:w="2880"/>
      </w:tblGrid>
      <w:tr>
        <w:tc>
          <w:tcPr>
            <w:tcW w:type="dxa" w:w="4176"/>
            <w:shd w:val="clear" w:color="auto" w:fill="E6EEF8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  <w:shd w:val="clear" w:color="auto" w:fill="E6EEF8"/>
          </w:tcPr>
          <w:p>
            <w:r>
              <w:rPr>
                <w:b/>
              </w:rPr>
              <w:t>Nom</w:t>
            </w:r>
          </w:p>
        </w:tc>
        <w:tc>
          <w:tcPr>
            <w:tcW w:type="dxa" w:w="2880"/>
            <w:shd w:val="clear" w:color="auto" w:fill="E6EEF8"/>
          </w:tcPr>
          <w:p>
            <w:r>
              <w:rPr>
                <w:b/>
              </w:rPr>
              <w:t>Téléphone (hors bande)</w:t>
            </w:r>
          </w:p>
        </w:tc>
      </w:tr>
      <w:tr>
        <w:tc>
          <w:tcPr>
            <w:tcW w:type="dxa" w:w="4176"/>
          </w:tcPr>
          <w:p>
            <w:r>
              <w:t>Direction / responsable de crise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4176"/>
          </w:tcPr>
          <w:p>
            <w:r>
              <w:t>Fournisseur d'intervention sur incident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4176"/>
          </w:tcPr>
          <w:p>
            <w:r>
              <w:t>Assureur cyber (numéro de police)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4176"/>
          </w:tcPr>
          <w:p>
            <w:r>
              <w:t>Conseiller juridique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4176"/>
          </w:tcPr>
          <w:p>
            <w:r>
              <w:t>Autorité de cybersécurité / police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4176"/>
          </w:tcPr>
          <w:p>
            <w:r>
              <w:t>Hébergeur / infonuagique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pPr>
        <w:pStyle w:val="Heading2"/>
      </w:pPr>
      <w:r>
        <w:t>Sources</w:t>
      </w:r>
    </w:p>
    <w:p>
      <w:pPr>
        <w:pStyle w:val="ListBullet"/>
      </w:pPr>
      <w:r>
        <w:t>CISA — #StopRansomware Guide — https://www.cisa.gov/stopransomware/ransomware-guide</w:t>
      </w:r>
    </w:p>
    <w:p>
      <w:pPr>
        <w:pStyle w:val="ListBullet"/>
      </w:pPr>
      <w:r>
        <w:t>NCSC (UK) — Mitigating malware and ransomware attacks — https://www.ncsc.gov.uk/guidance/mitigating-malware-and-ransomware-attacks</w:t>
      </w:r>
    </w:p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6656F"/>
        <w:sz w:val="16"/>
      </w:rPr>
      <w:t>FZ Consultation · fzconsultation.xyz · Modèle général, ne constitue pas un avis juridique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 w:eastAsia="Arial"/>
      <w:color w:val="1622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52B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52B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0052B2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FZ Consultation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</dc:language>
</cp:coreProperties>
</file>