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Summary:</w:t>
      </w:r>
    </w:p>
    <w:p w:rsidR="00000000" w:rsidDel="00000000" w:rsidP="00000000" w:rsidRDefault="00000000" w:rsidRPr="00000000" w14:paraId="00000002">
      <w:pPr>
        <w:spacing w:after="200" w:before="200" w:lineRule="auto"/>
        <w:ind w:left="-360" w:right="-360" w:firstLine="0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Basic SQL syntax: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</w:rPr>
        <w:drawing>
          <wp:inline distB="114300" distT="114300" distL="114300" distR="114300">
            <wp:extent cx="6172200" cy="965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before="200" w:lineRule="auto"/>
        <w:ind w:left="-360" w:right="-360" w:firstLine="0"/>
        <w:rPr>
          <w:color w:val="1f1f1f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Some examples of where clause:</w:t>
      </w:r>
    </w:p>
    <w:p w:rsidR="00000000" w:rsidDel="00000000" w:rsidP="00000000" w:rsidRDefault="00000000" w:rsidRPr="00000000" w14:paraId="00000004">
      <w:pPr>
        <w:spacing w:after="200" w:before="200" w:lineRule="auto"/>
        <w:ind w:left="-360" w:right="-360" w:firstLine="0"/>
        <w:rPr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WHERE field1 = 'Chavez'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before="200" w:lineRule="auto"/>
        <w:ind w:left="-360" w:right="-360" w:firstLine="0"/>
        <w:rPr>
          <w:b w:val="1"/>
          <w:color w:val="1f1f1f"/>
          <w:sz w:val="24"/>
          <w:szCs w:val="24"/>
          <w:highlight w:val="white"/>
        </w:rPr>
      </w:pPr>
      <w:r w:rsidDel="00000000" w:rsidR="00000000" w:rsidRPr="00000000">
        <w:rPr>
          <w:b w:val="1"/>
          <w:color w:val="1f1f1f"/>
          <w:sz w:val="24"/>
          <w:szCs w:val="24"/>
          <w:highlight w:val="white"/>
          <w:rtl w:val="0"/>
        </w:rPr>
        <w:t xml:space="preserve">WHERE field1 LIKE 'Ch%'</w:t>
      </w:r>
    </w:p>
    <w:p w:rsidR="00000000" w:rsidDel="00000000" w:rsidP="00000000" w:rsidRDefault="00000000" w:rsidRPr="00000000" w14:paraId="00000006">
      <w:pPr>
        <w:spacing w:after="200" w:before="200" w:lineRule="auto"/>
        <w:ind w:left="-360" w:right="-360" w:firstLine="0"/>
        <w:rPr>
          <w:color w:val="1f1f1f"/>
          <w:sz w:val="28"/>
          <w:szCs w:val="28"/>
        </w:rPr>
      </w:pPr>
      <w:r w:rsidDel="00000000" w:rsidR="00000000" w:rsidRPr="00000000">
        <w:rPr>
          <w:color w:val="1f1f1f"/>
          <w:sz w:val="28"/>
          <w:szCs w:val="28"/>
          <w:rtl w:val="0"/>
        </w:rPr>
        <w:t xml:space="preserve">Aliases:</w:t>
      </w:r>
    </w:p>
    <w:p w:rsidR="00000000" w:rsidDel="00000000" w:rsidP="00000000" w:rsidRDefault="00000000" w:rsidRPr="00000000" w14:paraId="00000007">
      <w:pPr>
        <w:spacing w:after="200" w:before="200" w:lineRule="auto"/>
        <w:ind w:left="-360" w:right="-360" w:firstLine="0"/>
        <w:rPr>
          <w:b w:val="1"/>
          <w:i w:val="1"/>
          <w:color w:val="1f1f1f"/>
          <w:sz w:val="28"/>
          <w:szCs w:val="28"/>
        </w:rPr>
      </w:pPr>
      <w:r w:rsidDel="00000000" w:rsidR="00000000" w:rsidRPr="00000000">
        <w:rPr>
          <w:b w:val="1"/>
          <w:i w:val="1"/>
          <w:color w:val="1f1f1f"/>
          <w:sz w:val="24"/>
          <w:szCs w:val="24"/>
          <w:highlight w:val="white"/>
          <w:rtl w:val="0"/>
        </w:rPr>
        <w:t xml:space="preserve">You create a SQL query similar to below, where &lt;&gt; means "does not equal":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before="200" w:lineRule="auto"/>
        <w:ind w:left="-360" w:right="-360" w:firstLine="0"/>
        <w:rPr>
          <w:rFonts w:ascii="Roboto" w:cs="Roboto" w:eastAsia="Roboto" w:hAnsi="Roboto"/>
          <w:i w:val="1"/>
          <w:sz w:val="36"/>
          <w:szCs w:val="36"/>
        </w:rPr>
      </w:pPr>
      <w:r w:rsidDel="00000000" w:rsidR="00000000" w:rsidRPr="00000000">
        <w:rPr>
          <w:color w:val="1f1f1f"/>
          <w:sz w:val="28"/>
          <w:szCs w:val="28"/>
        </w:rPr>
        <w:drawing>
          <wp:inline distB="114300" distT="114300" distL="114300" distR="114300">
            <wp:extent cx="6172200" cy="1079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-360" w:right="-36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-360" w:right="-36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-360" w:right="-360" w:firstLine="0"/>
        <w:rPr>
          <w:rFonts w:ascii="Roboto" w:cs="Roboto" w:eastAsia="Roboto" w:hAnsi="Roboto"/>
          <w:i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i w:val="1"/>
          <w:sz w:val="28"/>
          <w:szCs w:val="28"/>
          <w:rtl w:val="0"/>
        </w:rPr>
        <w:t xml:space="preserve">Resources to learn more:</w:t>
      </w:r>
    </w:p>
    <w:p w:rsidR="00000000" w:rsidDel="00000000" w:rsidP="00000000" w:rsidRDefault="00000000" w:rsidRPr="00000000" w14:paraId="0000000C">
      <w:pPr>
        <w:pageBreakBefore w:val="0"/>
        <w:ind w:left="-360" w:right="-360" w:firstLine="0"/>
        <w:rPr>
          <w:color w:val="1f1f1f"/>
          <w:sz w:val="24"/>
          <w:szCs w:val="24"/>
          <w:highlight w:val="white"/>
        </w:rPr>
      </w:pPr>
      <w:hyperlink r:id="rId8">
        <w:r w:rsidDel="00000000" w:rsidR="00000000" w:rsidRPr="00000000">
          <w:rPr>
            <w:color w:val="00419e"/>
            <w:sz w:val="24"/>
            <w:szCs w:val="24"/>
            <w:highlight w:val="white"/>
            <w:u w:val="single"/>
            <w:rtl w:val="0"/>
          </w:rPr>
          <w:t xml:space="preserve">W3Schools SQL Tutorial</w:t>
        </w:r>
      </w:hyperlink>
      <w:r w:rsidDel="00000000" w:rsidR="00000000" w:rsidRPr="00000000">
        <w:rPr>
          <w:color w:val="1f1f1f"/>
          <w:sz w:val="24"/>
          <w:szCs w:val="24"/>
          <w:highlight w:val="white"/>
          <w:rtl w:val="0"/>
        </w:rPr>
        <w:t xml:space="preserve">: </w:t>
      </w:r>
    </w:p>
    <w:p w:rsidR="00000000" w:rsidDel="00000000" w:rsidP="00000000" w:rsidRDefault="00000000" w:rsidRPr="00000000" w14:paraId="0000000D">
      <w:pPr>
        <w:ind w:left="-360" w:right="-360" w:firstLine="0"/>
        <w:rPr>
          <w:color w:val="1f1f1f"/>
          <w:sz w:val="24"/>
          <w:szCs w:val="24"/>
          <w:highlight w:val="white"/>
        </w:rPr>
      </w:pPr>
      <w:hyperlink r:id="rId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SQL Cheat Sheet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Rule="auto"/>
        <w:rPr>
          <w:b w:val="1"/>
          <w:i w:val="1"/>
          <w:color w:val="1f1f1f"/>
          <w:sz w:val="34"/>
          <w:szCs w:val="34"/>
        </w:rPr>
      </w:pPr>
      <w:bookmarkStart w:colFirst="0" w:colLast="0" w:name="_1oq4bpi0kjff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Rule="auto"/>
        <w:rPr>
          <w:rFonts w:ascii="Roboto" w:cs="Roboto" w:eastAsia="Roboto" w:hAnsi="Roboto"/>
          <w:b w:val="1"/>
          <w:sz w:val="30"/>
          <w:szCs w:val="30"/>
        </w:rPr>
      </w:pPr>
      <w:bookmarkStart w:colFirst="0" w:colLast="0" w:name="_yqrzy6j2m0l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-360" w:right="-360" w:firstLine="0"/>
        <w:rPr>
          <w:b w:val="1"/>
          <w:color w:val="1f1f1f"/>
          <w:sz w:val="28"/>
          <w:szCs w:val="28"/>
        </w:rPr>
      </w:pPr>
      <w:r w:rsidDel="00000000" w:rsidR="00000000" w:rsidRPr="00000000">
        <w:rPr>
          <w:b w:val="1"/>
          <w:color w:val="1f1f1f"/>
          <w:sz w:val="28"/>
          <w:szCs w:val="28"/>
          <w:rtl w:val="0"/>
        </w:rPr>
        <w:t xml:space="preserve">Steps to plan a data visualization: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b w:val="1"/>
          <w:color w:val="1f1f1f"/>
          <w:sz w:val="28"/>
          <w:szCs w:val="28"/>
        </w:rPr>
      </w:pPr>
      <w:bookmarkStart w:colFirst="0" w:colLast="0" w:name="_5dajyhpcyrmi" w:id="2"/>
      <w:bookmarkEnd w:id="2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Step 1: Explore the data for patterns</w:t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b w:val="1"/>
          <w:color w:val="1f1f1f"/>
          <w:sz w:val="28"/>
          <w:szCs w:val="28"/>
        </w:rPr>
      </w:pPr>
      <w:bookmarkStart w:colFirst="0" w:colLast="0" w:name="_b880i4pe0wly" w:id="3"/>
      <w:bookmarkEnd w:id="3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Step 2: Plan your visuals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80" w:before="0" w:beforeAutospacing="0" w:lineRule="auto"/>
        <w:ind w:left="720" w:hanging="360"/>
        <w:rPr>
          <w:b w:val="1"/>
          <w:color w:val="1f1f1f"/>
          <w:sz w:val="28"/>
          <w:szCs w:val="28"/>
        </w:rPr>
      </w:pPr>
      <w:bookmarkStart w:colFirst="0" w:colLast="0" w:name="_40kwdkd4uvzk" w:id="4"/>
      <w:bookmarkEnd w:id="4"/>
      <w:r w:rsidDel="00000000" w:rsidR="00000000" w:rsidRPr="00000000">
        <w:rPr>
          <w:b w:val="1"/>
          <w:color w:val="1f1f1f"/>
          <w:sz w:val="26"/>
          <w:szCs w:val="26"/>
          <w:rtl w:val="0"/>
        </w:rPr>
        <w:t xml:space="preserve">Step 3: Create your visuals</w:t>
      </w:r>
    </w:p>
    <w:p w:rsidR="00000000" w:rsidDel="00000000" w:rsidP="00000000" w:rsidRDefault="00000000" w:rsidRPr="00000000" w14:paraId="0000001B">
      <w:pPr>
        <w:pageBreakBefore w:val="0"/>
        <w:ind w:left="720" w:right="-360" w:firstLine="0"/>
        <w:rPr>
          <w:b w:val="1"/>
          <w:color w:val="1f1f1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360" w:right="-360" w:firstLine="0"/>
        <w:rPr>
          <w:b w:val="1"/>
          <w:color w:val="1f1f1f"/>
          <w:sz w:val="28"/>
          <w:szCs w:val="28"/>
        </w:rPr>
      </w:pPr>
      <w:r w:rsidDel="00000000" w:rsidR="00000000" w:rsidRPr="00000000">
        <w:rPr>
          <w:i w:val="1"/>
          <w:color w:val="1f1f1f"/>
          <w:sz w:val="24"/>
          <w:szCs w:val="24"/>
        </w:rPr>
        <w:drawing>
          <wp:inline distB="114300" distT="114300" distL="114300" distR="114300">
            <wp:extent cx="6172200" cy="5384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ind w:left="-360" w:right="-360" w:firstLine="0"/>
        <w:rPr>
          <w:i w:val="1"/>
          <w:color w:val="1f1f1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ind w:left="-360" w:right="-360" w:firstLine="0"/>
        <w:rPr>
          <w:rFonts w:ascii="Roboto" w:cs="Roboto" w:eastAsia="Roboto" w:hAnsi="Roboto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ind w:left="-360" w:right="-360" w:firstLine="0"/>
        <w:rPr>
          <w:rFonts w:ascii="Roboto" w:cs="Roboto" w:eastAsia="Roboto" w:hAnsi="Roboto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11" w:type="default"/>
      <w:footerReference r:id="rId12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pageBreakBefore w:val="0"/>
      <w:spacing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  <w:p w:rsidR="00000000" w:rsidDel="00000000" w:rsidP="00000000" w:rsidRDefault="00000000" w:rsidRPr="00000000" w14:paraId="00000021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4.png"/><Relationship Id="rId12" Type="http://schemas.openxmlformats.org/officeDocument/2006/relationships/footer" Target="footer1.xml"/><Relationship Id="rId9" Type="http://schemas.openxmlformats.org/officeDocument/2006/relationships/hyperlink" Target="https://towardsdatascience.com/sql-cheat-sheet-776f8e3189fa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www.w3schools.com/sql/default.as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