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40" w:lineRule="auto"/>
        <w:jc w:val="center"/>
        <w:rPr/>
      </w:pPr>
      <w:r w:rsidDel="00000000" w:rsidR="00000000" w:rsidRPr="00000000">
        <w:rPr>
          <w:rFonts w:ascii="Play" w:cs="Play" w:eastAsia="Play" w:hAnsi="Play"/>
          <w:b w:val="1"/>
          <w:bCs w:val="1"/>
          <w:color w:val="17365d"/>
          <w:sz w:val="64"/>
          <w:szCs w:val="64"/>
          <w:rtl w:val="0"/>
        </w:rPr>
        <w:t xml:space="preserve">E3-SSE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2f5597"/>
          <w:sz w:val="42"/>
          <w:szCs w:val="42"/>
          <w:rtl w:val="0"/>
        </w:rPr>
        <w:t xml:space="preserve">Paper Narrative, Introduction Blueprint, and Related-Work Map</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i w:val="1"/>
          <w:iCs w:val="1"/>
          <w:color w:val="667085"/>
          <w:sz w:val="24"/>
          <w:szCs w:val="24"/>
          <w:rtl w:val="0"/>
        </w:rPr>
        <w:t xml:space="preserve">Softening-Rescaled Transport and Conformal Selection for Li-Ion Solid Electrolyte Screening</w:t>
      </w:r>
      <w:r w:rsidDel="00000000" w:rsidR="00000000" w:rsidRPr="00000000">
        <w:rPr>
          <w:rtl w:val="0"/>
        </w:rPr>
      </w:r>
    </w:p>
    <w:tbl>
      <w:tblPr>
        <w:tblStyle w:val="Table1"/>
        <w:tblW w:w="9994.0" w:type="dxa"/>
        <w:jc w:val="center"/>
        <w:tblLayout w:type="fixed"/>
        <w:tblLook w:val="0400"/>
      </w:tblPr>
      <w:tblGrid>
        <w:gridCol w:w="9994"/>
        <w:tblGridChange w:id="0">
          <w:tblGrid>
            <w:gridCol w:w="9994"/>
          </w:tblGrid>
        </w:tblGridChange>
      </w:tblGrid>
      <w:tr>
        <w:trPr>
          <w:cantSplit w:val="1"/>
          <w:tblHeader w:val="0"/>
        </w:trPr>
        <w:tc>
          <w:tcPr>
            <w:tcBorders>
              <w:top w:color="2f5597" w:space="0" w:sz="6" w:val="single"/>
              <w:left w:color="2f5597" w:space="0" w:sz="6" w:val="single"/>
              <w:bottom w:color="2f5597" w:space="0" w:sz="6" w:val="single"/>
              <w:right w:color="2f5597" w:space="0" w:sz="6" w:val="single"/>
            </w:tcBorders>
            <w:shd w:fill="eaf2f8" w:val="clear"/>
            <w:tcMar>
              <w:top w:w="120.0" w:type="dxa"/>
              <w:bottom w:w="120.0" w:type="dxa"/>
            </w:tcMar>
            <w:vAlign w:val="center"/>
          </w:tcPr>
          <w:p w:rsidR="00000000" w:rsidDel="00000000" w:rsidP="00000000" w:rsidRDefault="00000000" w:rsidRPr="00000000" w14:paraId="00000004">
            <w:pPr>
              <w:spacing w:after="0" w:lineRule="auto"/>
              <w:rPr/>
            </w:pPr>
            <w:r w:rsidDel="00000000" w:rsidR="00000000" w:rsidRPr="00000000">
              <w:rPr>
                <w:b w:val="1"/>
                <w:bCs w:val="1"/>
                <w:color w:val="17365d"/>
                <w:sz w:val="21"/>
                <w:szCs w:val="21"/>
                <w:rtl w:val="0"/>
              </w:rPr>
              <w:t xml:space="preserve">One coherent paper story: measure systematic PES softening -&gt; correct transport without retraining -&gt; validate the correction -&gt; make screening decisions with explicit false-discovery control.</w:t>
            </w:r>
            <w:r w:rsidDel="00000000" w:rsidR="00000000" w:rsidRPr="00000000">
              <w:rPr>
                <w:rtl w:val="0"/>
              </w:rPr>
            </w:r>
          </w:p>
        </w:tc>
      </w:tr>
    </w:tbl>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before="520" w:lineRule="auto"/>
        <w:jc w:val="center"/>
        <w:rPr/>
      </w:pPr>
      <w:r w:rsidDel="00000000" w:rsidR="00000000" w:rsidRPr="00000000">
        <w:rPr>
          <w:color w:val="667085"/>
          <w:sz w:val="20"/>
          <w:szCs w:val="20"/>
          <w:rtl w:val="0"/>
        </w:rPr>
        <w:t xml:space="preserve">Prepared from E3-SSE Research Design and Protocol v3.0</w:t>
        <w:br w:type="textWrapping"/>
        <w:t xml:space="preserve">Literature checked against publisher/journal sources through 23 September 2026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center"/>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8"/>
          <w:szCs w:val="18"/>
          <w:u w:val="none"/>
          <w:shd w:fill="auto" w:val="clear"/>
          <w:vertAlign w:val="baseline"/>
          <w:rtl w:val="0"/>
        </w:rPr>
        <w:t xml:space="preserve">Status note. Project-specific statements below describe hypotheses, design choices, and planned analyses, not research results. Novelty statements should be re-checked immediately before manuscript submission.</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Purpose of this planning document</w:t>
      </w:r>
    </w:p>
    <w:p w:rsidR="00000000" w:rsidDel="00000000" w:rsidP="00000000" w:rsidRDefault="00000000" w:rsidRPr="00000000" w14:paraId="0000000A">
      <w:pPr>
        <w:rPr/>
      </w:pPr>
      <w:r w:rsidDel="00000000" w:rsidR="00000000" w:rsidRPr="00000000">
        <w:rPr>
          <w:b w:val="1"/>
          <w:bCs w:val="1"/>
          <w:rtl w:val="0"/>
        </w:rPr>
        <w:t xml:space="preserve">This document reorganises E3-SSE into a single journal-paper narrative. </w:t>
      </w:r>
      <w:r w:rsidDel="00000000" w:rsidR="00000000" w:rsidRPr="00000000">
        <w:rPr>
          <w:rtl w:val="0"/>
        </w:rPr>
        <w:t xml:space="preserve">The five computational studies remain useful internally because they define datasets and validation stages, but the manuscript should not read as five independent projects. Instead, every analysis should answer one connected question: can systematic softening in universal machine-learning interatomic potentials (uMLIPs) be measured cheaply, corrected using physics without retraining, and then used to produce a statistically reliable shortlist of fast Li-ion conductors?</w:t>
      </w:r>
    </w:p>
    <w:p w:rsidR="00000000" w:rsidDel="00000000" w:rsidP="00000000" w:rsidRDefault="00000000" w:rsidRPr="00000000" w14:paraId="0000000B">
      <w:pPr>
        <w:rPr/>
      </w:pPr>
      <w:r w:rsidDel="00000000" w:rsidR="00000000" w:rsidRPr="00000000">
        <w:rPr>
          <w:b w:val="1"/>
          <w:bCs w:val="1"/>
          <w:rtl w:val="0"/>
        </w:rPr>
        <w:t xml:space="preserve">The document has three jobs: </w:t>
      </w:r>
      <w:r w:rsidDel="00000000" w:rsidR="00000000" w:rsidRPr="00000000">
        <w:rPr>
          <w:rtl w:val="0"/>
        </w:rPr>
        <w:t xml:space="preserve">(i) explain the project to a beginner without losing the scientific core; (ii) provide a paragraph-level blueprint for the Introduction; and (iii) organise the Related Work around verified papers that establish the state of the field, the unresolved gap, and the precise novelty boundary of E3-SSE.</w:t>
      </w:r>
    </w:p>
    <w:p w:rsidR="00000000" w:rsidDel="00000000" w:rsidP="00000000" w:rsidRDefault="00000000" w:rsidRPr="00000000" w14:paraId="0000000C">
      <w:pPr>
        <w:pStyle w:val="Heading1"/>
        <w:rPr/>
      </w:pPr>
      <w:r w:rsidDel="00000000" w:rsidR="00000000" w:rsidRPr="00000000">
        <w:rPr>
          <w:rtl w:val="0"/>
        </w:rPr>
        <w:t xml:space="preserve">2. The project in plain language</w:t>
      </w:r>
    </w:p>
    <w:p w:rsidR="00000000" w:rsidDel="00000000" w:rsidP="00000000" w:rsidRDefault="00000000" w:rsidRPr="00000000" w14:paraId="0000000D">
      <w:pPr>
        <w:rPr/>
      </w:pPr>
      <w:r w:rsidDel="00000000" w:rsidR="00000000" w:rsidRPr="00000000">
        <w:rPr>
          <w:b w:val="1"/>
          <w:bCs w:val="1"/>
          <w:rtl w:val="0"/>
        </w:rPr>
        <w:t xml:space="preserve">The basic problem. </w:t>
      </w:r>
      <w:r w:rsidDel="00000000" w:rsidR="00000000" w:rsidRPr="00000000">
        <w:rPr>
          <w:rtl w:val="0"/>
        </w:rPr>
        <w:t xml:space="preserve">A lithium ion moving through a solid electrolyte must cross an energy landscape. Density-functional theory (DFT) can describe this landscape accurately enough to serve as a reference, but DFT-based nudged elastic band (NEB) calculations and first-principles molecular dynamics (FPMD/AIMD) are too expensive for screening very large candidate pools. Foundation interatomic potentials offer a much faster approximation and can often be used out of the box across many chemistries.</w:t>
      </w:r>
    </w:p>
    <w:p w:rsidR="00000000" w:rsidDel="00000000" w:rsidP="00000000" w:rsidRDefault="00000000" w:rsidRPr="00000000" w14:paraId="0000000E">
      <w:pPr>
        <w:rPr/>
      </w:pPr>
      <w:r w:rsidDel="00000000" w:rsidR="00000000" w:rsidRPr="00000000">
        <w:rPr>
          <w:b w:val="1"/>
          <w:bCs w:val="1"/>
          <w:rtl w:val="0"/>
        </w:rPr>
        <w:t xml:space="preserve">The reliability problem. </w:t>
      </w:r>
      <w:r w:rsidDel="00000000" w:rsidR="00000000" w:rsidRPr="00000000">
        <w:rPr>
          <w:rtl w:val="0"/>
        </w:rPr>
        <w:t xml:space="preserve">Recent work shows that several foundation potentials systematically make high-energy regions of the potential-energy surface too shallow. In an intuitive “hill” picture, the model preserves much of the landscape but flattens the hills that Li ions must climb. Migration barriers can then be underestimated and Li diffusion can appear artificially fast. This is particularly serious for screening because the error is directional: a slow material may be made to look promising.</w:t>
      </w:r>
    </w:p>
    <w:p w:rsidR="00000000" w:rsidDel="00000000" w:rsidP="00000000" w:rsidRDefault="00000000" w:rsidRPr="00000000" w14:paraId="0000000F">
      <w:pPr>
        <w:rPr/>
      </w:pPr>
      <w:r w:rsidDel="00000000" w:rsidR="00000000" w:rsidRPr="00000000">
        <w:rPr>
          <w:b w:val="1"/>
          <w:bCs w:val="1"/>
          <w:rtl w:val="0"/>
        </w:rPr>
        <w:t xml:space="preserve">The E3-SSE idea. </w:t>
      </w:r>
      <w:r w:rsidDel="00000000" w:rsidR="00000000" w:rsidRPr="00000000">
        <w:rPr>
          <w:rtl w:val="0"/>
        </w:rPr>
        <w:t xml:space="preserve">If a substantial component of this error behaves like an approximately uniform scaling of the potential, E3-SSE estimates a scalar softening factor, s, from a small set of static DFT force labels and uses mechanical similarity to rescale transport quantities. The method is called Softening-Rescaled Transport (SRT). In the idealised uniform case, the conceptual relationship is U_ML(R) ≈ s U_DFT(R) + C, with s &lt; 1 indicating softening. SRT then asks how much of the real barrier and dynamical error can be removed by that one measured scale.</w:t>
      </w:r>
    </w:p>
    <w:p w:rsidR="00000000" w:rsidDel="00000000" w:rsidP="00000000" w:rsidRDefault="00000000" w:rsidRPr="00000000" w14:paraId="00000010">
      <w:pPr>
        <w:rPr/>
      </w:pPr>
      <w:r w:rsidDel="00000000" w:rsidR="00000000" w:rsidRPr="00000000">
        <w:rPr>
          <w:b w:val="1"/>
          <w:bCs w:val="1"/>
          <w:rtl w:val="0"/>
        </w:rPr>
        <w:t xml:space="preserve">The decision problem. </w:t>
      </w:r>
      <w:r w:rsidDel="00000000" w:rsidR="00000000" w:rsidRPr="00000000">
        <w:rPr>
          <w:rtl w:val="0"/>
        </w:rPr>
        <w:t xml:space="preserve">A better point prediction is not yet a trustworthy screening decision. If a workflow selects 100 candidates as fast conductors, a researcher also needs to know how many of those selections may be false. E3-SSE therefore adds conformal selection and false-discovery-rate (FDR) control to the corrected predictions, so that screening quality is assessed at the shortlist level rather than only by MAE or RMSE.</w:t>
      </w:r>
    </w:p>
    <w:tbl>
      <w:tblPr>
        <w:tblStyle w:val="Table2"/>
        <w:tblW w:w="9994.0" w:type="dxa"/>
        <w:jc w:val="center"/>
        <w:tblLayout w:type="fixed"/>
        <w:tblLook w:val="0400"/>
      </w:tblPr>
      <w:tblGrid>
        <w:gridCol w:w="9994"/>
        <w:tblGridChange w:id="0">
          <w:tblGrid>
            <w:gridCol w:w="9994"/>
          </w:tblGrid>
        </w:tblGridChange>
      </w:tblGrid>
      <w:tr>
        <w:trPr>
          <w:cantSplit w:val="1"/>
          <w:tblHeader w:val="0"/>
        </w:trPr>
        <w:tc>
          <w:tcPr>
            <w:tcBorders>
              <w:top w:color="2f5597" w:space="0" w:sz="6" w:val="single"/>
              <w:left w:color="2f5597" w:space="0" w:sz="6" w:val="single"/>
              <w:bottom w:color="2f5597" w:space="0" w:sz="6" w:val="single"/>
              <w:right w:color="2f5597" w:space="0" w:sz="6" w:val="single"/>
            </w:tcBorders>
            <w:shd w:fill="d9eaf7" w:val="clear"/>
            <w:tcMar>
              <w:top w:w="120.0" w:type="dxa"/>
              <w:bottom w:w="120.0" w:type="dxa"/>
            </w:tcMar>
            <w:vAlign w:val="center"/>
          </w:tcPr>
          <w:p w:rsidR="00000000" w:rsidDel="00000000" w:rsidP="00000000" w:rsidRDefault="00000000" w:rsidRPr="00000000" w14:paraId="00000011">
            <w:pPr>
              <w:spacing w:after="0" w:lineRule="auto"/>
              <w:rPr/>
            </w:pPr>
            <w:r w:rsidDel="00000000" w:rsidR="00000000" w:rsidRPr="00000000">
              <w:rPr>
                <w:b w:val="1"/>
                <w:bCs w:val="1"/>
                <w:color w:val="17365d"/>
                <w:sz w:val="21"/>
                <w:szCs w:val="21"/>
                <w:rtl w:val="0"/>
              </w:rPr>
              <w:t xml:space="preserve">Central research question: How much of the Li-transport error of foundation potentials is explained by measurable PES softening, how much can a training-free physics correction remove, and can the resulting predictions support a shortlist with controlled false discoveries?</w:t>
            </w:r>
            <w:r w:rsidDel="00000000" w:rsidR="00000000" w:rsidRPr="00000000">
              <w:rPr>
                <w:rtl w:val="0"/>
              </w:rPr>
            </w:r>
          </w:p>
        </w:tc>
      </w:tr>
    </w:tbl>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3. The coherent paper narrative</w:t>
      </w:r>
    </w:p>
    <w:p w:rsidR="00000000" w:rsidDel="00000000" w:rsidP="00000000" w:rsidRDefault="00000000" w:rsidRPr="00000000" w14:paraId="00000014">
      <w:pPr>
        <w:rPr/>
      </w:pPr>
      <w:r w:rsidDel="00000000" w:rsidR="00000000" w:rsidRPr="00000000">
        <w:rPr>
          <w:b w:val="1"/>
          <w:bCs w:val="1"/>
          <w:rtl w:val="0"/>
        </w:rPr>
        <w:t xml:space="preserve">The manuscript should follow the logic of one failure mode and one response to it. </w:t>
      </w:r>
      <w:r w:rsidDel="00000000" w:rsidR="00000000" w:rsidRPr="00000000">
        <w:rPr>
          <w:rtl w:val="0"/>
        </w:rPr>
        <w:t xml:space="preserve">The field has moved from expensive first-principles transport calculations to scalable foundation potentials. That gain in speed introduces a systematic reliability problem: softening of high-energy configurations. E3-SSE first measures that error using DFT forces, then converts the measured scale into a no-retraining transport correction, tests the correction against independent static and dynamical references, determines the amount of DFT information needed to estimate the scale, and finally converts the corrected scores into a statistically controlled screening decision.</w:t>
      </w:r>
    </w:p>
    <w:tbl>
      <w:tblPr>
        <w:tblStyle w:val="Table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Narrative step</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16">
            <w:pPr>
              <w:rPr/>
            </w:pPr>
            <w:r w:rsidDel="00000000" w:rsidR="00000000" w:rsidRPr="00000000">
              <w:rPr>
                <w:b w:val="1"/>
                <w:bCs w:val="1"/>
                <w:color w:val="ffffff"/>
                <w:sz w:val="18"/>
                <w:szCs w:val="18"/>
                <w:rtl w:val="0"/>
              </w:rPr>
              <w:t xml:space="preserve">Scientific role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1. Reference truth</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18">
            <w:pPr>
              <w:spacing w:after="0" w:lineRule="auto"/>
              <w:rPr/>
            </w:pPr>
            <w:r w:rsidDel="00000000" w:rsidR="00000000" w:rsidRPr="00000000">
              <w:rPr>
                <w:sz w:val="18"/>
                <w:szCs w:val="18"/>
                <w:rtl w:val="0"/>
              </w:rPr>
              <w:t xml:space="preserve">Open DFT/FPMD data define the target energy landscape and transport behaviour.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2. Fast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after="0" w:lineRule="auto"/>
              <w:rPr/>
            </w:pPr>
            <w:r w:rsidDel="00000000" w:rsidR="00000000" w:rsidRPr="00000000">
              <w:rPr>
                <w:sz w:val="18"/>
                <w:szCs w:val="18"/>
                <w:rtl w:val="0"/>
              </w:rPr>
              <w:t xml:space="preserve">Pretrained uMLIPs provide inexpensive energies, forces, NEB paths, and MD trajectories.</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3. Measure softening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Estimate a leakage-free scalar s from static DFT-versus-ML force comparisons.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4. Correct with SRT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Use the physics of potential scaling to correct barriers and rescale finite-temperature transport.</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1F">
            <w:pPr>
              <w:spacing w:after="0" w:lineRule="auto"/>
              <w:rPr/>
            </w:pPr>
            <w:r w:rsidDel="00000000" w:rsidR="00000000" w:rsidRPr="00000000">
              <w:rPr>
                <w:b w:val="1"/>
                <w:bCs w:val="1"/>
                <w:sz w:val="18"/>
                <w:szCs w:val="18"/>
                <w:rtl w:val="0"/>
              </w:rPr>
              <w:t xml:space="preserve">5. Validate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0">
            <w:pPr>
              <w:spacing w:after="0" w:lineRule="auto"/>
              <w:rPr/>
            </w:pPr>
            <w:r w:rsidDel="00000000" w:rsidR="00000000" w:rsidRPr="00000000">
              <w:rPr>
                <w:sz w:val="18"/>
                <w:szCs w:val="18"/>
                <w:rtl w:val="0"/>
              </w:rPr>
              <w:t xml:space="preserve">Test static barriers, relaxed paths, diffusion, and activation energies against held-out references.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6. Quantify label cost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Measure how many DFT single-point frames are needed before s and downstream corrections stabilise.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7. Select reliably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Use conformal p-values and FDR control to turn predictions into a defensible shortlist.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5">
            <w:pPr>
              <w:spacing w:after="0" w:lineRule="auto"/>
              <w:rPr/>
            </w:pPr>
            <w:r w:rsidDel="00000000" w:rsidR="00000000" w:rsidRPr="00000000">
              <w:rPr>
                <w:b w:val="1"/>
                <w:bCs w:val="1"/>
                <w:sz w:val="18"/>
                <w:szCs w:val="18"/>
                <w:rtl w:val="0"/>
              </w:rPr>
              <w:t xml:space="preserve">8. Demonstrate prospectively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spacing w:after="0" w:lineRule="auto"/>
              <w:rPr/>
            </w:pPr>
            <w:r w:rsidDel="00000000" w:rsidR="00000000" w:rsidRPr="00000000">
              <w:rPr>
                <w:sz w:val="18"/>
                <w:szCs w:val="18"/>
                <w:rtl w:val="0"/>
              </w:rPr>
              <w:t xml:space="preserve">Freeze the workflow and apply it to an independent candidate pool.</w:t>
            </w:r>
            <w:r w:rsidDel="00000000" w:rsidR="00000000" w:rsidRPr="00000000">
              <w:rPr>
                <w:rtl w:val="0"/>
              </w:rPr>
            </w:r>
          </w:p>
        </w:tc>
      </w:tr>
    </w:tbl>
    <w:p w:rsidR="00000000" w:rsidDel="00000000" w:rsidP="00000000" w:rsidRDefault="00000000" w:rsidRPr="00000000" w14:paraId="00000027">
      <w:pPr>
        <w:pStyle w:val="Heading1"/>
        <w:rPr/>
      </w:pPr>
      <w:r w:rsidDel="00000000" w:rsidR="00000000" w:rsidRPr="00000000">
        <w:rPr>
          <w:rtl w:val="0"/>
        </w:rPr>
        <w:t xml:space="preserve">4. Introduction blueprint: six conceptual moves</w:t>
      </w:r>
    </w:p>
    <w:p w:rsidR="00000000" w:rsidDel="00000000" w:rsidP="00000000" w:rsidRDefault="00000000" w:rsidRPr="00000000" w14:paraId="00000028">
      <w:pPr>
        <w:rPr/>
      </w:pPr>
      <w:r w:rsidDel="00000000" w:rsidR="00000000" w:rsidRPr="00000000">
        <w:rPr>
          <w:b w:val="1"/>
          <w:bCs w:val="1"/>
          <w:rtl w:val="0"/>
        </w:rPr>
        <w:t xml:space="preserve">Recommended length: </w:t>
      </w:r>
      <w:r w:rsidDel="00000000" w:rsidR="00000000" w:rsidRPr="00000000">
        <w:rPr>
          <w:rtl w:val="0"/>
        </w:rPr>
        <w:t xml:space="preserve">approximately 7-9 paragraphs. The first five moves establish the need and the gap; the final move states the E3-SSE response and contributions. Avoid introducing the internal “Study 1-5” labels in the Introduction.</w:t>
      </w:r>
    </w:p>
    <w:p w:rsidR="00000000" w:rsidDel="00000000" w:rsidP="00000000" w:rsidRDefault="00000000" w:rsidRPr="00000000" w14:paraId="00000029">
      <w:pPr>
        <w:pStyle w:val="Heading2"/>
        <w:rPr/>
      </w:pPr>
      <w:r w:rsidDel="00000000" w:rsidR="00000000" w:rsidRPr="00000000">
        <w:rPr>
          <w:rtl w:val="0"/>
        </w:rPr>
        <w:t xml:space="preserve">4.1 Why solid electrolytes matter</w:t>
      </w:r>
    </w:p>
    <w:p w:rsidR="00000000" w:rsidDel="00000000" w:rsidP="00000000" w:rsidRDefault="00000000" w:rsidRPr="00000000" w14:paraId="0000002A">
      <w:pPr>
        <w:rPr/>
      </w:pPr>
      <w:r w:rsidDel="00000000" w:rsidR="00000000" w:rsidRPr="00000000">
        <w:rPr>
          <w:rtl w:val="0"/>
        </w:rPr>
        <w:t xml:space="preserve">Open with the materials problem rather than with machine learning. All-solid-state batteries motivate the search for inorganic electrolytes that combine high Li-ion conductivity with stability and compatibility. Superionic materials such as LGPS demonstrate that liquid-like ionic transport is possible in a crystalline solid, but the space of possible Li-containing compounds is far larger than can be explored experimentally.</w:t>
      </w:r>
    </w:p>
    <w:p w:rsidR="00000000" w:rsidDel="00000000" w:rsidP="00000000" w:rsidRDefault="00000000" w:rsidRPr="00000000" w14:paraId="0000002B">
      <w:pPr>
        <w:rPr/>
      </w:pPr>
      <w:r w:rsidDel="00000000" w:rsidR="00000000" w:rsidRPr="00000000">
        <w:rPr>
          <w:b w:val="1"/>
          <w:bCs w:val="1"/>
          <w:rtl w:val="0"/>
        </w:rPr>
        <w:t xml:space="preserve">Evidence to cite: </w:t>
      </w:r>
      <w:r w:rsidDel="00000000" w:rsidR="00000000" w:rsidRPr="00000000">
        <w:rPr>
          <w:rtl w:val="0"/>
        </w:rPr>
        <w:t xml:space="preserve">Kamaya et al. (2011) for the superionic-conductor motivation; Sendek et al. (2017), Kahle et al. (2020), and Thakur et al. (2026) for the scale of the candidate space and the need for screening.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67085"/>
          <w:sz w:val="18"/>
          <w:szCs w:val="18"/>
          <w:u w:val="none"/>
          <w:shd w:fill="auto" w:val="clear"/>
          <w:vertAlign w:val="baseline"/>
          <w:rtl w:val="0"/>
        </w:rPr>
        <w:t xml:space="preserve">Transition: because the search space is too large for trial-and-error discovery, transport must be screened computationally.</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4.2 Why computational screening is necessary but difficult</w:t>
      </w:r>
    </w:p>
    <w:p w:rsidR="00000000" w:rsidDel="00000000" w:rsidP="00000000" w:rsidRDefault="00000000" w:rsidRPr="00000000" w14:paraId="0000002E">
      <w:pPr>
        <w:rPr/>
      </w:pPr>
      <w:r w:rsidDel="00000000" w:rsidR="00000000" w:rsidRPr="00000000">
        <w:rPr>
          <w:rtl w:val="0"/>
        </w:rPr>
        <w:t xml:space="preserve">Explain what the expensive reference calculations provide. DFT-NEB resolves minimum-energy migration barriers for individual hops, while FPMD/AIMD samples finite-temperature diffusion and correlated motion. These methods provide strong physical references but become costly when multiplied across thousands of structures, hops, temperatures, and trajectories. High-throughput studies therefore use staged funnels: inexpensive descriptors or approximate dynamics first, and first-principles calculations only on a smaller set.</w:t>
      </w:r>
    </w:p>
    <w:p w:rsidR="00000000" w:rsidDel="00000000" w:rsidP="00000000" w:rsidRDefault="00000000" w:rsidRPr="00000000" w14:paraId="0000002F">
      <w:pPr>
        <w:rPr/>
      </w:pPr>
      <w:r w:rsidDel="00000000" w:rsidR="00000000" w:rsidRPr="00000000">
        <w:rPr>
          <w:b w:val="1"/>
          <w:bCs w:val="1"/>
          <w:rtl w:val="0"/>
        </w:rPr>
        <w:t xml:space="preserve">Evidence to cite: </w:t>
      </w:r>
      <w:r w:rsidDel="00000000" w:rsidR="00000000" w:rsidRPr="00000000">
        <w:rPr>
          <w:rtl w:val="0"/>
        </w:rPr>
        <w:t xml:space="preserve">Sendek et al. (2017), Kahle et al. (2020), and Thakur et al. (2026) establish the funnel logic. Dembitskiy et al. (2025) provides the LiTraj benchmark and DFT-NEB transport dataset central to E3-SSE.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67085"/>
          <w:sz w:val="18"/>
          <w:szCs w:val="18"/>
          <w:u w:val="none"/>
          <w:shd w:fill="auto" w:val="clear"/>
          <w:vertAlign w:val="baseline"/>
          <w:rtl w:val="0"/>
        </w:rPr>
        <w:t xml:space="preserve">Transition: this cost bottleneck created an opening for transferable ML interatomic potentials.</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4.3 Why foundation interatomic potentials changed the problem</w:t>
      </w:r>
    </w:p>
    <w:p w:rsidR="00000000" w:rsidDel="00000000" w:rsidP="00000000" w:rsidRDefault="00000000" w:rsidRPr="00000000" w14:paraId="00000032">
      <w:pPr>
        <w:rPr/>
      </w:pPr>
      <w:r w:rsidDel="00000000" w:rsidR="00000000" w:rsidRPr="00000000">
        <w:rPr>
          <w:rtl w:val="0"/>
        </w:rPr>
        <w:t xml:space="preserve">Introduce uMLIPs as a change in scale, not merely another regression model. M3GNet, CHGNet, SevenNet, and MACE-MP-0 learn transferable potential-energy surfaces from very large materials datasets. They enable rapid single-point calculations, relaxations, NEB calculations, and long molecular-dynamics trajectories without fitting a separate potential from scratch for every candidate chemistry.</w:t>
      </w:r>
    </w:p>
    <w:p w:rsidR="00000000" w:rsidDel="00000000" w:rsidP="00000000" w:rsidRDefault="00000000" w:rsidRPr="00000000" w14:paraId="00000033">
      <w:pPr>
        <w:rPr/>
      </w:pPr>
      <w:r w:rsidDel="00000000" w:rsidR="00000000" w:rsidRPr="00000000">
        <w:rPr>
          <w:b w:val="1"/>
          <w:bCs w:val="1"/>
          <w:rtl w:val="0"/>
        </w:rPr>
        <w:t xml:space="preserve">Evidence to cite: </w:t>
      </w:r>
      <w:r w:rsidDel="00000000" w:rsidR="00000000" w:rsidRPr="00000000">
        <w:rPr>
          <w:rtl w:val="0"/>
        </w:rPr>
        <w:t xml:space="preserve">Chen &amp; Ong (2022), Deng et al. (2023), Park et al. (2024), and Batatia et al. (2025) establish the major foundation potentials. Du et al. (2025), Dembitskiy et al. (2025), Bheemaguli et al. (2026), and Guo et al. (2026) show their increasing use and evaluation for ionic transport.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67085"/>
          <w:sz w:val="18"/>
          <w:szCs w:val="18"/>
          <w:u w:val="none"/>
          <w:shd w:fill="auto" w:val="clear"/>
          <w:vertAlign w:val="baseline"/>
          <w:rtl w:val="0"/>
        </w:rPr>
        <w:t xml:space="preserve">Transition: the speed advantage matters only if high-energy transport configurations are represented with sufficient fidelity.</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4.4 The unresolved reliability problem</w:t>
      </w:r>
    </w:p>
    <w:p w:rsidR="00000000" w:rsidDel="00000000" w:rsidP="00000000" w:rsidRDefault="00000000" w:rsidRPr="00000000" w14:paraId="00000036">
      <w:pPr>
        <w:rPr/>
      </w:pPr>
      <w:r w:rsidDel="00000000" w:rsidR="00000000" w:rsidRPr="00000000">
        <w:rPr>
          <w:rtl w:val="0"/>
        </w:rPr>
        <w:t xml:space="preserve">Focus the Introduction on the specific error that motivates E3-SSE. Several uMLIPs trained predominantly on near-equilibrium relaxation data systematically underpredict energies, forces, and curvature away from equilibrium. For ionic transport, this can lower predicted migration barriers and inflate apparent diffusivity. The problem is not simply random scatter: a systematic directional bias can create false positives in a screening campaign.</w:t>
      </w:r>
    </w:p>
    <w:p w:rsidR="00000000" w:rsidDel="00000000" w:rsidP="00000000" w:rsidRDefault="00000000" w:rsidRPr="00000000" w14:paraId="00000037">
      <w:pPr>
        <w:rPr/>
      </w:pPr>
      <w:r w:rsidDel="00000000" w:rsidR="00000000" w:rsidRPr="00000000">
        <w:rPr>
          <w:b w:val="1"/>
          <w:bCs w:val="1"/>
          <w:rtl w:val="0"/>
        </w:rPr>
        <w:t xml:space="preserve">Evidence to cite: </w:t>
      </w:r>
      <w:r w:rsidDel="00000000" w:rsidR="00000000" w:rsidRPr="00000000">
        <w:rPr>
          <w:rtl w:val="0"/>
        </w:rPr>
        <w:t xml:space="preserve">Deng et al. (2025) is the central softening paper. Dembitskiy et al. (2025) documents migration-barrier behaviour in LiTraj; Kim et al. (2026) links softening to overestimated Li diffusivity; OMat24 (Barros-Luque et al., 2026) shows that more diverse off-equilibrium training data substantially reduces the bias.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67085"/>
          <w:sz w:val="18"/>
          <w:szCs w:val="18"/>
          <w:u w:val="none"/>
          <w:shd w:fill="auto" w:val="clear"/>
          <w:vertAlign w:val="baseline"/>
          <w:rtl w:val="0"/>
        </w:rPr>
        <w:t xml:space="preserve">Transition: if the error has a systematic component, the next question is whether it must be repaired through retraining.</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4.5 Why current solutions are incomplete</w:t>
      </w:r>
    </w:p>
    <w:p w:rsidR="00000000" w:rsidDel="00000000" w:rsidP="00000000" w:rsidRDefault="00000000" w:rsidRPr="00000000" w14:paraId="0000003A">
      <w:pPr>
        <w:rPr/>
      </w:pPr>
      <w:r w:rsidDel="00000000" w:rsidR="00000000" w:rsidRPr="00000000">
        <w:rPr>
          <w:rtl w:val="0"/>
        </w:rPr>
        <w:t xml:space="preserve">Acknowledge that the field already has strong remedies. Fine-tuning and improved training datasets can correct softening and transport errors, but fine-tuning consumes system-specific DFT labels, training time, and model-management effort; a newly tuned model may also lose generality if forgetting is not controlled. Meanwhile, better training data such as OMat24 and MatPES attack the cause prospectively but do not remove the need to understand or correct already-deployed pretrained models. Finally, lower prediction error alone does not guarantee a screening shortlist with a known false-selection rate.</w:t>
      </w:r>
    </w:p>
    <w:p w:rsidR="00000000" w:rsidDel="00000000" w:rsidP="00000000" w:rsidRDefault="00000000" w:rsidRPr="00000000" w14:paraId="0000003B">
      <w:pPr>
        <w:rPr/>
      </w:pPr>
      <w:r w:rsidDel="00000000" w:rsidR="00000000" w:rsidRPr="00000000">
        <w:rPr>
          <w:b w:val="1"/>
          <w:bCs w:val="1"/>
          <w:rtl w:val="0"/>
        </w:rPr>
        <w:t xml:space="preserve">Evidence to cite: </w:t>
      </w:r>
      <w:r w:rsidDel="00000000" w:rsidR="00000000" w:rsidRPr="00000000">
        <w:rPr>
          <w:rtl w:val="0"/>
        </w:rPr>
        <w:t xml:space="preserve">Kim et al. (2026) is the fine-tuning comparator; Deng et al. (2025) shows efficient systematic correction is possible; Barros-Luque et al. (2026) and Kaplan et al. (2025, preprint) establish the training-data-coverage direction; Jin &amp; Candès (2023) motivates explicit selection-level error control.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67085"/>
          <w:sz w:val="18"/>
          <w:szCs w:val="18"/>
          <w:u w:val="none"/>
          <w:shd w:fill="auto" w:val="clear"/>
          <w:vertAlign w:val="baseline"/>
          <w:rtl w:val="0"/>
        </w:rPr>
        <w:t xml:space="preserve">Transition: E3-SSE therefore separates two tasks - correcting a physics error and controlling the risk of selection.</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4.6 Our solution and contributions</w:t>
      </w:r>
    </w:p>
    <w:p w:rsidR="00000000" w:rsidDel="00000000" w:rsidP="00000000" w:rsidRDefault="00000000" w:rsidRPr="00000000" w14:paraId="0000003E">
      <w:pPr>
        <w:rPr/>
      </w:pPr>
      <w:r w:rsidDel="00000000" w:rsidR="00000000" w:rsidRPr="00000000">
        <w:rPr>
          <w:rtl w:val="0"/>
        </w:rPr>
        <w:t xml:space="preserve">Close the Introduction by naming SRT and stating the complete contribution set explicitly. The claim should be falsifiable: the scaling identity is exact only under uniform potential scaling, while real uMLIP error is non-uniform. The scientific test is therefore how much real error one measured scalar can remove, for which models and chemistries, and whether the corrected predictor improves the power of an FDR-controlled screening rule.</w:t>
      </w:r>
    </w:p>
    <w:p w:rsidR="00000000" w:rsidDel="00000000" w:rsidP="00000000" w:rsidRDefault="00000000" w:rsidRPr="00000000" w14:paraId="0000003F">
      <w:pPr>
        <w:rPr/>
      </w:pPr>
      <w:r w:rsidDel="00000000" w:rsidR="00000000" w:rsidRPr="00000000">
        <w:rPr>
          <w:b w:val="1"/>
          <w:bCs w:val="1"/>
          <w:rtl w:val="0"/>
        </w:rPr>
        <w:t xml:space="preserve">Evidence to cite: </w:t>
      </w:r>
      <w:r w:rsidDel="00000000" w:rsidR="00000000" w:rsidRPr="00000000">
        <w:rPr>
          <w:rtl w:val="0"/>
        </w:rPr>
        <w:t xml:space="preserve">This paragraph points forward to the theoretical derivation, the barrier/dynamics validation, label-budget analysis, and conformal selection. It should avoid claiming that SRT is already successful until the experimental results are known.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67085"/>
          <w:sz w:val="18"/>
          <w:szCs w:val="18"/>
          <w:u w:val="none"/>
          <w:shd w:fill="auto" w:val="clear"/>
          <w:vertAlign w:val="baseline"/>
          <w:rtl w:val="0"/>
        </w:rPr>
        <w:t xml:space="preserve">Transition: from the Introduction into the theoretical framework/method, where the scaling identity, estimator, validation design, and conformal procedure are defined.</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5. Our solution and contributions: explicit manuscript claims</w:t>
      </w:r>
    </w:p>
    <w:p w:rsidR="00000000" w:rsidDel="00000000" w:rsidP="00000000" w:rsidRDefault="00000000" w:rsidRPr="00000000" w14:paraId="00000042">
      <w:pPr>
        <w:rPr/>
      </w:pPr>
      <w:r w:rsidDel="00000000" w:rsidR="00000000" w:rsidRPr="00000000">
        <w:rPr>
          <w:b w:val="1"/>
          <w:bCs w:val="1"/>
          <w:rtl w:val="0"/>
        </w:rPr>
        <w:t xml:space="preserve">These should appear as a compact contribution list at the end of the Introduction. </w:t>
      </w:r>
      <w:r w:rsidDel="00000000" w:rsidR="00000000" w:rsidRPr="00000000">
        <w:rPr>
          <w:rtl w:val="0"/>
        </w:rPr>
        <w:t xml:space="preserve">They are deliberately stated without implying positive results. The final manuscript can tighten the language after the analyses are complete.</w:t>
      </w:r>
    </w:p>
    <w:p w:rsidR="00000000" w:rsidDel="00000000" w:rsidP="00000000" w:rsidRDefault="00000000" w:rsidRPr="00000000" w14:paraId="00000043">
      <w:pPr>
        <w:rPr/>
      </w:pPr>
      <w:r w:rsidDel="00000000" w:rsidR="00000000" w:rsidRPr="00000000">
        <w:rPr>
          <w:b w:val="1"/>
          <w:bCs w:val="1"/>
          <w:color w:val="17365d"/>
          <w:rtl w:val="0"/>
        </w:rPr>
        <w:t xml:space="preserve">C1 - Training-free Softening-Rescaled Transport (SRT)</w:t>
      </w:r>
      <w:r w:rsidDel="00000000" w:rsidR="00000000" w:rsidRPr="00000000">
        <w:rPr>
          <w:rtl w:val="0"/>
        </w:rPr>
        <w:t xml:space="preserve">. Derive a closed-form correction that maps an estimated scalar PES-softening factor onto Li migration barriers and finite-temperature transport quantities. The foundation potential is not retrained. The classical scaling identity itself is not claimed as new; the contribution is its use as a falsifiable correction framework for uMLIP transport error.</w:t>
      </w:r>
    </w:p>
    <w:p w:rsidR="00000000" w:rsidDel="00000000" w:rsidP="00000000" w:rsidRDefault="00000000" w:rsidRPr="00000000" w14:paraId="00000044">
      <w:pPr>
        <w:rPr/>
      </w:pPr>
      <w:r w:rsidDel="00000000" w:rsidR="00000000" w:rsidRPr="00000000">
        <w:rPr>
          <w:b w:val="1"/>
          <w:bCs w:val="1"/>
          <w:color w:val="17365d"/>
          <w:rtl w:val="0"/>
        </w:rPr>
        <w:t xml:space="preserve">C2 - Leakage-free softening estimator and DFT label-budget law</w:t>
      </w:r>
      <w:r w:rsidDel="00000000" w:rsidR="00000000" w:rsidRPr="00000000">
        <w:rPr>
          <w:rtl w:val="0"/>
        </w:rPr>
        <w:t xml:space="preserve">. Estimate the softening scale from static DFT-versus-uMLIP force components while preventing a hop from using its own NEB-path frames to calibrate its correction. Quantify how uncertainty and downstream barrier error change as the number of DFT-labelled frames is reduced, yielding a practical label-budget curve.</w:t>
      </w:r>
    </w:p>
    <w:p w:rsidR="00000000" w:rsidDel="00000000" w:rsidP="00000000" w:rsidRDefault="00000000" w:rsidRPr="00000000" w14:paraId="00000045">
      <w:pPr>
        <w:rPr/>
      </w:pPr>
      <w:r w:rsidDel="00000000" w:rsidR="00000000" w:rsidRPr="00000000">
        <w:rPr>
          <w:b w:val="1"/>
          <w:bCs w:val="1"/>
          <w:color w:val="17365d"/>
          <w:rtl w:val="0"/>
        </w:rPr>
        <w:t xml:space="preserve">C3 - Validation across static and dynamical transport</w:t>
      </w:r>
      <w:r w:rsidDel="00000000" w:rsidR="00000000" w:rsidRPr="00000000">
        <w:rPr>
          <w:rtl w:val="0"/>
        </w:rPr>
        <w:t xml:space="preserve">. Test SRT first on fixed DFT-NEB geometries, then on a stratified relaxed ML-NEB subset, and finally against FPMD diffusion/activation-energy references. This separates PES-energy error, path-relaxation error, and dynamical transfer.</w:t>
      </w:r>
    </w:p>
    <w:p w:rsidR="00000000" w:rsidDel="00000000" w:rsidP="00000000" w:rsidRDefault="00000000" w:rsidRPr="00000000" w14:paraId="00000046">
      <w:pPr>
        <w:rPr/>
      </w:pPr>
      <w:r w:rsidDel="00000000" w:rsidR="00000000" w:rsidRPr="00000000">
        <w:rPr>
          <w:b w:val="1"/>
          <w:bCs w:val="1"/>
          <w:color w:val="17365d"/>
          <w:rtl w:val="0"/>
        </w:rPr>
        <w:t xml:space="preserve">C4 - Mechanistic test of pretraining-data coverage</w:t>
      </w:r>
      <w:r w:rsidDel="00000000" w:rsidR="00000000" w:rsidRPr="00000000">
        <w:rPr>
          <w:rtl w:val="0"/>
        </w:rPr>
        <w:t xml:space="preserve">. Compare models pretrained mainly on near-equilibrium relaxation trajectories with models trained on broader off-equilibrium or MD-sampled configurations. Test the predicted dose-response: models with less softening should require less SRT correction and should show smaller gains from rescaling.</w:t>
      </w:r>
    </w:p>
    <w:p w:rsidR="00000000" w:rsidDel="00000000" w:rsidP="00000000" w:rsidRDefault="00000000" w:rsidRPr="00000000" w14:paraId="00000047">
      <w:pPr>
        <w:rPr/>
      </w:pPr>
      <w:r w:rsidDel="00000000" w:rsidR="00000000" w:rsidRPr="00000000">
        <w:rPr>
          <w:b w:val="1"/>
          <w:bCs w:val="1"/>
          <w:color w:val="17365d"/>
          <w:rtl w:val="0"/>
        </w:rPr>
        <w:t xml:space="preserve">C5 - FDR-controlled candidate selection</w:t>
      </w:r>
      <w:r w:rsidDel="00000000" w:rsidR="00000000" w:rsidRPr="00000000">
        <w:rPr>
          <w:rtl w:val="0"/>
        </w:rPr>
        <w:t xml:space="preserve">. Wrap raw and SRT-corrected predictors in a conformal-selection procedure that targets a user-defined fast-conductor threshold while controlling the expected false-discovery proportion under the required exchangeability assumptions. Use weighted conformal selection when the prospective pool exhibits covariate shift.</w:t>
      </w:r>
    </w:p>
    <w:p w:rsidR="00000000" w:rsidDel="00000000" w:rsidP="00000000" w:rsidRDefault="00000000" w:rsidRPr="00000000" w14:paraId="00000048">
      <w:pPr>
        <w:rPr/>
      </w:pPr>
      <w:r w:rsidDel="00000000" w:rsidR="00000000" w:rsidRPr="00000000">
        <w:rPr>
          <w:b w:val="1"/>
          <w:bCs w:val="1"/>
          <w:color w:val="17365d"/>
          <w:rtl w:val="0"/>
        </w:rPr>
        <w:t xml:space="preserve">C6 - Reproducible prospective demonstration</w:t>
      </w:r>
      <w:r w:rsidDel="00000000" w:rsidR="00000000" w:rsidRPr="00000000">
        <w:rPr>
          <w:rtl w:val="0"/>
        </w:rPr>
        <w:t xml:space="preserve">. Freeze the complete workflow before the final screen, apply it to an independent open candidate pool, and record the evidence supporting each selected material. The deliverable is a reproducible screening workflow and evidence table, not merely a retrospective accuracy benchmark.</w:t>
      </w:r>
    </w:p>
    <w:tbl>
      <w:tblPr>
        <w:tblStyle w:val="Table4"/>
        <w:tblW w:w="9994.0" w:type="dxa"/>
        <w:jc w:val="center"/>
        <w:tblLayout w:type="fixed"/>
        <w:tblLook w:val="0400"/>
      </w:tblPr>
      <w:tblGrid>
        <w:gridCol w:w="9994"/>
        <w:tblGridChange w:id="0">
          <w:tblGrid>
            <w:gridCol w:w="9994"/>
          </w:tblGrid>
        </w:tblGridChange>
      </w:tblGrid>
      <w:tr>
        <w:trPr>
          <w:cantSplit w:val="1"/>
          <w:tblHeader w:val="0"/>
        </w:trPr>
        <w:tc>
          <w:tcPr>
            <w:tcBorders>
              <w:top w:color="bf9000" w:space="0" w:sz="6" w:val="single"/>
              <w:left w:color="bf9000" w:space="0" w:sz="6" w:val="single"/>
              <w:bottom w:color="bf9000" w:space="0" w:sz="6" w:val="single"/>
              <w:right w:color="bf9000" w:space="0" w:sz="6" w:val="single"/>
            </w:tcBorders>
            <w:shd w:fill="fff2cc" w:val="clear"/>
            <w:tcMar>
              <w:top w:w="120.0" w:type="dxa"/>
              <w:bottom w:w="120.0" w:type="dxa"/>
            </w:tcMar>
            <w:vAlign w:val="center"/>
          </w:tcPr>
          <w:p w:rsidR="00000000" w:rsidDel="00000000" w:rsidP="00000000" w:rsidRDefault="00000000" w:rsidRPr="00000000" w14:paraId="00000049">
            <w:pPr>
              <w:spacing w:after="0" w:lineRule="auto"/>
              <w:rPr/>
            </w:pPr>
            <w:r w:rsidDel="00000000" w:rsidR="00000000" w:rsidRPr="00000000">
              <w:rPr>
                <w:b w:val="1"/>
                <w:bCs w:val="1"/>
                <w:color w:val="17365d"/>
                <w:sz w:val="20"/>
                <w:szCs w:val="20"/>
                <w:rtl w:val="0"/>
              </w:rPr>
              <w:t xml:space="preserve">Novelty boundary to preserve: E3-SSE does not claim to invent mechanical similarity, NEB, uMLIPs, conformal inference, or Benjamini-Hochberg FDR control. The proposed novelty is the training-free SRT application/estimator/validation framework and its integration with statistically controlled ionic-conductor screening.</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6. Related Work: recommended structure and verified papers</w:t>
      </w:r>
    </w:p>
    <w:p w:rsidR="00000000" w:rsidDel="00000000" w:rsidP="00000000" w:rsidRDefault="00000000" w:rsidRPr="00000000" w14:paraId="0000004C">
      <w:pPr>
        <w:rPr/>
      </w:pPr>
      <w:r w:rsidDel="00000000" w:rsidR="00000000" w:rsidRPr="00000000">
        <w:rPr>
          <w:b w:val="1"/>
          <w:bCs w:val="1"/>
          <w:rtl w:val="0"/>
        </w:rPr>
        <w:t xml:space="preserve">Recommended structure: four themes, not eight isolated mini-reviews. </w:t>
      </w:r>
      <w:r w:rsidDel="00000000" w:rsidR="00000000" w:rsidRPr="00000000">
        <w:rPr>
          <w:rtl w:val="0"/>
        </w:rPr>
        <w:t xml:space="preserve">The Related Work should narrow progressively from solid-electrolyte discovery to transport-aware foundation potentials, then to the specific softening mechanism, and finally to selection-level uncertainty control. Mechanical similarity is better used as the bridge into the Theory/Method section because it is the physical engine of SRT rather than a large competing literature.</w:t>
      </w:r>
    </w:p>
    <w:p w:rsidR="00000000" w:rsidDel="00000000" w:rsidP="00000000" w:rsidRDefault="00000000" w:rsidRPr="00000000" w14:paraId="0000004D">
      <w:pPr>
        <w:pStyle w:val="Heading2"/>
        <w:rPr/>
      </w:pPr>
      <w:r w:rsidDel="00000000" w:rsidR="00000000" w:rsidRPr="00000000">
        <w:rPr>
          <w:rtl w:val="0"/>
        </w:rPr>
        <w:t xml:space="preserve">6.1 First-principles transport and high-throughput screening of Li solid electrolytes</w:t>
      </w:r>
    </w:p>
    <w:p w:rsidR="00000000" w:rsidDel="00000000" w:rsidP="00000000" w:rsidRDefault="00000000" w:rsidRPr="00000000" w14:paraId="0000004E">
      <w:pPr>
        <w:rPr/>
      </w:pPr>
      <w:r w:rsidDel="00000000" w:rsidR="00000000" w:rsidRPr="00000000">
        <w:rPr>
          <w:rtl w:val="0"/>
        </w:rPr>
        <w:t xml:space="preserve">This subsection should establish the computational discovery problem and the staged-funnel precedent. It should not become a general battery review. The progression is: superionic materials prove the target is physically attainable -&gt; the candidate space is large -&gt; DFT/FPMD are expensive -&gt; high-throughput workflows therefore use successive filters and expensive validation only at the end.</w:t>
      </w:r>
    </w:p>
    <w:tbl>
      <w:tblPr>
        <w:tblStyle w:val="Table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4F">
            <w:pPr>
              <w:rPr/>
            </w:pPr>
            <w:r w:rsidDel="00000000" w:rsidR="00000000" w:rsidRPr="00000000">
              <w:rPr>
                <w:b w:val="1"/>
                <w:bCs w:val="1"/>
                <w:color w:val="ffffff"/>
                <w:sz w:val="18"/>
                <w:szCs w:val="18"/>
                <w:rtl w:val="0"/>
              </w:rPr>
              <w:t xml:space="preserve">Paper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50">
            <w:pPr>
              <w:rPr/>
            </w:pPr>
            <w:r w:rsidDel="00000000" w:rsidR="00000000" w:rsidRPr="00000000">
              <w:rPr>
                <w:b w:val="1"/>
                <w:bCs w:val="1"/>
                <w:color w:val="ffffff"/>
                <w:sz w:val="18"/>
                <w:szCs w:val="18"/>
                <w:rtl w:val="0"/>
              </w:rPr>
              <w:t xml:space="preserve">What it establishes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51">
            <w:pPr>
              <w:rPr/>
            </w:pPr>
            <w:r w:rsidDel="00000000" w:rsidR="00000000" w:rsidRPr="00000000">
              <w:rPr>
                <w:b w:val="1"/>
                <w:bCs w:val="1"/>
                <w:color w:val="ffffff"/>
                <w:sz w:val="18"/>
                <w:szCs w:val="18"/>
                <w:rtl w:val="0"/>
              </w:rPr>
              <w:t xml:space="preserve">Role in E3-SSE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52">
            <w:pPr>
              <w:spacing w:after="20" w:lineRule="auto"/>
              <w:rPr/>
            </w:pPr>
            <w:r w:rsidDel="00000000" w:rsidR="00000000" w:rsidRPr="00000000">
              <w:rPr>
                <w:b w:val="1"/>
                <w:bCs w:val="1"/>
                <w:sz w:val="17"/>
                <w:szCs w:val="17"/>
                <w:rtl w:val="0"/>
              </w:rPr>
              <w:t xml:space="preserve">Kamaya et al. (2011), “A lithium superionic conductor,” Nature Materials 10, 682-686.</w:t>
            </w:r>
            <w:r w:rsidDel="00000000" w:rsidR="00000000" w:rsidRPr="00000000">
              <w:rPr>
                <w:rtl w:val="0"/>
              </w:rPr>
            </w:r>
          </w:p>
          <w:p w:rsidR="00000000" w:rsidDel="00000000" w:rsidP="00000000" w:rsidRDefault="00000000" w:rsidRPr="00000000" w14:paraId="00000053">
            <w:pPr>
              <w:spacing w:after="0" w:lineRule="auto"/>
              <w:rPr/>
            </w:pPr>
            <w:hyperlink r:id="rId7">
              <w:r w:rsidDel="00000000" w:rsidR="00000000" w:rsidRPr="00000000">
                <w:rPr>
                  <w:color w:val="2f5597"/>
                  <w:u w:val="single"/>
                  <w:rtl w:val="0"/>
                </w:rPr>
                <w:t xml:space="preserve">doi:10.1038/nmat3066</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4">
            <w:pPr>
              <w:spacing w:after="0" w:lineRule="auto"/>
              <w:rPr/>
            </w:pPr>
            <w:r w:rsidDel="00000000" w:rsidR="00000000" w:rsidRPr="00000000">
              <w:rPr>
                <w:sz w:val="17"/>
                <w:szCs w:val="17"/>
                <w:rtl w:val="0"/>
              </w:rPr>
              <w:t xml:space="preserve">Established LGPS as a landmark crystalline Li superionic conductor and a concrete demonstration that very high Li-ion conductivity is achievable in solids.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5">
            <w:pPr>
              <w:spacing w:after="0" w:lineRule="auto"/>
              <w:rPr/>
            </w:pPr>
            <w:r w:rsidDel="00000000" w:rsidR="00000000" w:rsidRPr="00000000">
              <w:rPr>
                <w:sz w:val="17"/>
                <w:szCs w:val="17"/>
                <w:rtl w:val="0"/>
              </w:rPr>
              <w:t xml:space="preserve">Motivates why discovering new fast solid electrolytes matters; useful in Intro move 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6">
            <w:pPr>
              <w:spacing w:after="20" w:lineRule="auto"/>
              <w:rPr/>
            </w:pPr>
            <w:r w:rsidDel="00000000" w:rsidR="00000000" w:rsidRPr="00000000">
              <w:rPr>
                <w:b w:val="1"/>
                <w:bCs w:val="1"/>
                <w:sz w:val="17"/>
                <w:szCs w:val="17"/>
                <w:rtl w:val="0"/>
              </w:rPr>
              <w:t xml:space="preserve">Sendek et al. (2017), “Holistic computational structure screening of more than 12,000 candidates for solid lithium-ion conductor materials,” Energy &amp; Environmental Science 10, 306-320.</w:t>
            </w:r>
            <w:r w:rsidDel="00000000" w:rsidR="00000000" w:rsidRPr="00000000">
              <w:rPr>
                <w:rtl w:val="0"/>
              </w:rPr>
            </w:r>
          </w:p>
          <w:p w:rsidR="00000000" w:rsidDel="00000000" w:rsidP="00000000" w:rsidRDefault="00000000" w:rsidRPr="00000000" w14:paraId="00000057">
            <w:pPr>
              <w:spacing w:after="0" w:lineRule="auto"/>
              <w:rPr/>
            </w:pPr>
            <w:hyperlink r:id="rId8">
              <w:r w:rsidDel="00000000" w:rsidR="00000000" w:rsidRPr="00000000">
                <w:rPr>
                  <w:color w:val="2f5597"/>
                  <w:u w:val="single"/>
                  <w:rtl w:val="0"/>
                </w:rPr>
                <w:t xml:space="preserve">doi:10.1039/C6EE02697D</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lineRule="auto"/>
              <w:rPr/>
            </w:pPr>
            <w:r w:rsidDel="00000000" w:rsidR="00000000" w:rsidRPr="00000000">
              <w:rPr>
                <w:sz w:val="17"/>
                <w:szCs w:val="17"/>
                <w:rtl w:val="0"/>
              </w:rPr>
              <w:t xml:space="preserve">Screened 12,831 Li-containing crystals with stability/electronic filters and a data-driven ionic-conductivity classifier, reducing them to 21 candidates.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lineRule="auto"/>
              <w:rPr/>
            </w:pPr>
            <w:r w:rsidDel="00000000" w:rsidR="00000000" w:rsidRPr="00000000">
              <w:rPr>
                <w:sz w:val="17"/>
                <w:szCs w:val="17"/>
                <w:rtl w:val="0"/>
              </w:rPr>
              <w:t xml:space="preserve">Early evidence that SSE discovery is inherently a large screening problem requiring staged filters.</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5A">
            <w:pPr>
              <w:spacing w:after="20" w:lineRule="auto"/>
              <w:rPr/>
            </w:pPr>
            <w:r w:rsidDel="00000000" w:rsidR="00000000" w:rsidRPr="00000000">
              <w:rPr>
                <w:b w:val="1"/>
                <w:bCs w:val="1"/>
                <w:sz w:val="17"/>
                <w:szCs w:val="17"/>
                <w:rtl w:val="0"/>
              </w:rPr>
              <w:t xml:space="preserve">Kahle, Marcolongo &amp; Marzari (2020), “High-throughput computational screening for solid-state Li-ion conductors,” Energy &amp; Environmental Science 13, 928-948.</w:t>
            </w:r>
            <w:r w:rsidDel="00000000" w:rsidR="00000000" w:rsidRPr="00000000">
              <w:rPr>
                <w:rtl w:val="0"/>
              </w:rPr>
            </w:r>
          </w:p>
          <w:p w:rsidR="00000000" w:rsidDel="00000000" w:rsidP="00000000" w:rsidRDefault="00000000" w:rsidRPr="00000000" w14:paraId="0000005B">
            <w:pPr>
              <w:spacing w:after="0" w:lineRule="auto"/>
              <w:rPr/>
            </w:pPr>
            <w:hyperlink r:id="rId9">
              <w:r w:rsidDel="00000000" w:rsidR="00000000" w:rsidRPr="00000000">
                <w:rPr>
                  <w:color w:val="2f5597"/>
                  <w:u w:val="single"/>
                  <w:rtl w:val="0"/>
                </w:rPr>
                <w:t xml:space="preserve">doi:10.1039/C9EE02457C</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sz w:val="17"/>
                <w:szCs w:val="17"/>
                <w:rtl w:val="0"/>
              </w:rPr>
              <w:t xml:space="preserve">Used a staged first-principles workflow: about 1,400 structures, about 900 DFT insulators, fast pinball MD, then FPMD on the most promising candidates.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sz w:val="17"/>
                <w:szCs w:val="17"/>
                <w:rtl w:val="0"/>
              </w:rPr>
              <w:t xml:space="preserve">Strong precedent for a computational funnel and for reserving FPMD for expensive final 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E">
            <w:pPr>
              <w:spacing w:after="20" w:lineRule="auto"/>
              <w:rPr/>
            </w:pPr>
            <w:r w:rsidDel="00000000" w:rsidR="00000000" w:rsidRPr="00000000">
              <w:rPr>
                <w:b w:val="1"/>
                <w:bCs w:val="1"/>
                <w:sz w:val="17"/>
                <w:szCs w:val="17"/>
                <w:rtl w:val="0"/>
              </w:rPr>
              <w:t xml:space="preserve">Thakur, Ercole &amp; Marzari (2026), “Novel fast Li-ion conductors for solid-state electrolytes from first-principles,” Energy &amp; Environmental Science 19, 3214-3235.</w:t>
            </w:r>
            <w:r w:rsidDel="00000000" w:rsidR="00000000" w:rsidRPr="00000000">
              <w:rPr>
                <w:rtl w:val="0"/>
              </w:rPr>
            </w:r>
          </w:p>
          <w:p w:rsidR="00000000" w:rsidDel="00000000" w:rsidP="00000000" w:rsidRDefault="00000000" w:rsidRPr="00000000" w14:paraId="0000005F">
            <w:pPr>
              <w:spacing w:after="0" w:lineRule="auto"/>
              <w:rPr/>
            </w:pPr>
            <w:hyperlink r:id="rId10">
              <w:r w:rsidDel="00000000" w:rsidR="00000000" w:rsidRPr="00000000">
                <w:rPr>
                  <w:color w:val="2f5597"/>
                  <w:u w:val="single"/>
                  <w:rtl w:val="0"/>
                </w:rPr>
                <w:t xml:space="preserve">doi:10.1039/D5EE07336G</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after="0" w:lineRule="auto"/>
              <w:rPr/>
            </w:pPr>
            <w:r w:rsidDel="00000000" w:rsidR="00000000" w:rsidRPr="00000000">
              <w:rPr>
                <w:sz w:val="17"/>
                <w:szCs w:val="17"/>
                <w:rtl w:val="0"/>
              </w:rPr>
              <w:t xml:space="preserve">Extends high-throughput first-principles screening to &gt;30,000 experimental Li-containing structures, with pinball MD and FPMD validation of a reduced 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lineRule="auto"/>
              <w:rPr/>
            </w:pPr>
            <w:r w:rsidDel="00000000" w:rsidR="00000000" w:rsidRPr="00000000">
              <w:rPr>
                <w:sz w:val="17"/>
                <w:szCs w:val="17"/>
                <w:rtl w:val="0"/>
              </w:rPr>
              <w:t xml:space="preserve">Most current large first-principles screening comparator and directly relevant to the FPMD archive used by E3-SSE.</w:t>
            </w:r>
            <w:r w:rsidDel="00000000" w:rsidR="00000000" w:rsidRPr="00000000">
              <w:rPr>
                <w:rtl w:val="0"/>
              </w:rPr>
            </w:r>
          </w:p>
        </w:tc>
      </w:tr>
    </w:tbl>
    <w:p w:rsidR="00000000" w:rsidDel="00000000" w:rsidP="00000000" w:rsidRDefault="00000000" w:rsidRPr="00000000" w14:paraId="00000062">
      <w:pPr>
        <w:spacing w:after="2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6.2 Foundation interatomic potentials and Li-ion transport benchmarking</w:t>
      </w:r>
    </w:p>
    <w:p w:rsidR="00000000" w:rsidDel="00000000" w:rsidP="00000000" w:rsidRDefault="00000000" w:rsidRPr="00000000" w14:paraId="00000064">
      <w:pPr>
        <w:rPr/>
      </w:pPr>
      <w:r w:rsidDel="00000000" w:rsidR="00000000" w:rsidRPr="00000000">
        <w:rPr>
          <w:rtl w:val="0"/>
        </w:rPr>
        <w:t xml:space="preserve">This subsection should show why uMLIPs are attractive and then move quickly to their transport-specific evidence. The important story is not a catalogue of architectures; it is that transferable models make high-throughput atomistic dynamics feasible, yet recent Li-ion benchmarks show that kinetic accuracy varies strongly by model, chemistry, reference functional, and training distribution.</w:t>
      </w:r>
    </w:p>
    <w:tbl>
      <w:tblPr>
        <w:tblStyle w:val="Table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65">
            <w:pPr>
              <w:rPr/>
            </w:pPr>
            <w:r w:rsidDel="00000000" w:rsidR="00000000" w:rsidRPr="00000000">
              <w:rPr>
                <w:b w:val="1"/>
                <w:bCs w:val="1"/>
                <w:color w:val="ffffff"/>
                <w:sz w:val="18"/>
                <w:szCs w:val="18"/>
                <w:rtl w:val="0"/>
              </w:rPr>
              <w:t xml:space="preserve">Paper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66">
            <w:pPr>
              <w:rPr/>
            </w:pPr>
            <w:r w:rsidDel="00000000" w:rsidR="00000000" w:rsidRPr="00000000">
              <w:rPr>
                <w:b w:val="1"/>
                <w:bCs w:val="1"/>
                <w:color w:val="ffffff"/>
                <w:sz w:val="18"/>
                <w:szCs w:val="18"/>
                <w:rtl w:val="0"/>
              </w:rPr>
              <w:t xml:space="preserve">What it establishes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67">
            <w:pPr>
              <w:rPr/>
            </w:pPr>
            <w:r w:rsidDel="00000000" w:rsidR="00000000" w:rsidRPr="00000000">
              <w:rPr>
                <w:b w:val="1"/>
                <w:bCs w:val="1"/>
                <w:color w:val="ffffff"/>
                <w:sz w:val="18"/>
                <w:szCs w:val="18"/>
                <w:rtl w:val="0"/>
              </w:rPr>
              <w:t xml:space="preserve">Role in E3-SSE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68">
            <w:pPr>
              <w:spacing w:after="20" w:lineRule="auto"/>
              <w:rPr/>
            </w:pPr>
            <w:r w:rsidDel="00000000" w:rsidR="00000000" w:rsidRPr="00000000">
              <w:rPr>
                <w:b w:val="1"/>
                <w:bCs w:val="1"/>
                <w:sz w:val="17"/>
                <w:szCs w:val="17"/>
                <w:rtl w:val="0"/>
              </w:rPr>
              <w:t xml:space="preserve">Chen &amp; Ong (2022), “A universal graph deep learning interatomic potential for the periodic table,” Nature Computational Science 2, 718-728.</w:t>
            </w:r>
            <w:r w:rsidDel="00000000" w:rsidR="00000000" w:rsidRPr="00000000">
              <w:rPr>
                <w:rtl w:val="0"/>
              </w:rPr>
            </w:r>
          </w:p>
          <w:p w:rsidR="00000000" w:rsidDel="00000000" w:rsidP="00000000" w:rsidRDefault="00000000" w:rsidRPr="00000000" w14:paraId="00000069">
            <w:pPr>
              <w:spacing w:after="0" w:lineRule="auto"/>
              <w:rPr/>
            </w:pPr>
            <w:hyperlink r:id="rId11">
              <w:r w:rsidDel="00000000" w:rsidR="00000000" w:rsidRPr="00000000">
                <w:rPr>
                  <w:color w:val="2f5597"/>
                  <w:u w:val="single"/>
                  <w:rtl w:val="0"/>
                </w:rPr>
                <w:t xml:space="preserve">doi:10.1038/s43588-022-00349-3</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A">
            <w:pPr>
              <w:spacing w:after="0" w:lineRule="auto"/>
              <w:rPr/>
            </w:pPr>
            <w:r w:rsidDel="00000000" w:rsidR="00000000" w:rsidRPr="00000000">
              <w:rPr>
                <w:sz w:val="17"/>
                <w:szCs w:val="17"/>
                <w:rtl w:val="0"/>
              </w:rPr>
              <w:t xml:space="preserve">Introduced M3GNet, a broadly transferable graph-based interatomic potential trained on Materials Project relaxation data.</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B">
            <w:pPr>
              <w:spacing w:after="0" w:lineRule="auto"/>
              <w:rPr/>
            </w:pPr>
            <w:r w:rsidDel="00000000" w:rsidR="00000000" w:rsidRPr="00000000">
              <w:rPr>
                <w:sz w:val="17"/>
                <w:szCs w:val="17"/>
                <w:rtl w:val="0"/>
              </w:rPr>
              <w:t xml:space="preserve">Foundation-model background; one of the uMLIPs in the planned softening comparison.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C">
            <w:pPr>
              <w:spacing w:after="20" w:lineRule="auto"/>
              <w:rPr/>
            </w:pPr>
            <w:r w:rsidDel="00000000" w:rsidR="00000000" w:rsidRPr="00000000">
              <w:rPr>
                <w:b w:val="1"/>
                <w:bCs w:val="1"/>
                <w:sz w:val="17"/>
                <w:szCs w:val="17"/>
                <w:rtl w:val="0"/>
              </w:rPr>
              <w:t xml:space="preserve">Deng et al. (2023), “CHGNet as a pretrained universal neural network potential for charge-informed atomistic modelling,” Nature Machine Intelligence 5, 1031-1041.</w:t>
            </w:r>
            <w:r w:rsidDel="00000000" w:rsidR="00000000" w:rsidRPr="00000000">
              <w:rPr>
                <w:rtl w:val="0"/>
              </w:rPr>
            </w:r>
          </w:p>
          <w:p w:rsidR="00000000" w:rsidDel="00000000" w:rsidP="00000000" w:rsidRDefault="00000000" w:rsidRPr="00000000" w14:paraId="0000006D">
            <w:pPr>
              <w:spacing w:after="0" w:lineRule="auto"/>
              <w:rPr/>
            </w:pPr>
            <w:hyperlink r:id="rId12">
              <w:r w:rsidDel="00000000" w:rsidR="00000000" w:rsidRPr="00000000">
                <w:rPr>
                  <w:color w:val="2f5597"/>
                  <w:u w:val="single"/>
                  <w:rtl w:val="0"/>
                </w:rPr>
                <w:t xml:space="preserve">doi:10.1038/s42256-023-00716-3</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sz w:val="17"/>
                <w:szCs w:val="17"/>
                <w:rtl w:val="0"/>
              </w:rPr>
              <w:t xml:space="preserve">Introduced CHGNet, pretrained on &gt;1.5 million Materials Project trajectory structures with energies, forces, stresses, and magnetic information.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sz w:val="17"/>
                <w:szCs w:val="17"/>
                <w:rtl w:val="0"/>
              </w:rPr>
              <w:t xml:space="preserve">Foundation-model background and a key MPtrj-trained comparator.</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70">
            <w:pPr>
              <w:spacing w:after="20" w:lineRule="auto"/>
              <w:rPr/>
            </w:pPr>
            <w:r w:rsidDel="00000000" w:rsidR="00000000" w:rsidRPr="00000000">
              <w:rPr>
                <w:b w:val="1"/>
                <w:bCs w:val="1"/>
                <w:sz w:val="17"/>
                <w:szCs w:val="17"/>
                <w:rtl w:val="0"/>
              </w:rPr>
              <w:t xml:space="preserve">Park et al. (2024), “Scalable Parallel Algorithm for Graph Neural Network Interatomic Potentials in Molecular Dynamics Simulations,” Journal of Chemical Theory and Computation 20, 4857-4868.</w:t>
            </w:r>
            <w:r w:rsidDel="00000000" w:rsidR="00000000" w:rsidRPr="00000000">
              <w:rPr>
                <w:rtl w:val="0"/>
              </w:rPr>
            </w:r>
          </w:p>
          <w:p w:rsidR="00000000" w:rsidDel="00000000" w:rsidP="00000000" w:rsidRDefault="00000000" w:rsidRPr="00000000" w14:paraId="00000071">
            <w:pPr>
              <w:spacing w:after="0" w:lineRule="auto"/>
              <w:rPr/>
            </w:pPr>
            <w:hyperlink r:id="rId13">
              <w:r w:rsidDel="00000000" w:rsidR="00000000" w:rsidRPr="00000000">
                <w:rPr>
                  <w:color w:val="2f5597"/>
                  <w:u w:val="single"/>
                  <w:rtl w:val="0"/>
                </w:rPr>
                <w:t xml:space="preserve">doi:10.1021/acs.jctc.4c00190</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sz w:val="17"/>
                <w:szCs w:val="17"/>
                <w:rtl w:val="0"/>
              </w:rPr>
              <w:t xml:space="preserve">Introduced the scalable SevenNet implementation and pretrained SevenNet-0 model for efficient molecular dynamics.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sz w:val="17"/>
                <w:szCs w:val="17"/>
                <w:rtl w:val="0"/>
              </w:rPr>
              <w:t xml:space="preserve">Provides the SevenNet foundation-potential comparator used in Li transport benchmarking.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20" w:lineRule="auto"/>
              <w:rPr/>
            </w:pPr>
            <w:r w:rsidDel="00000000" w:rsidR="00000000" w:rsidRPr="00000000">
              <w:rPr>
                <w:b w:val="1"/>
                <w:bCs w:val="1"/>
                <w:sz w:val="17"/>
                <w:szCs w:val="17"/>
                <w:rtl w:val="0"/>
              </w:rPr>
              <w:t xml:space="preserve">Batatia et al. (2025), “A foundation model for atomistic materials chemistry,” Journal of Chemical Physics 163, 184110.</w:t>
            </w:r>
            <w:r w:rsidDel="00000000" w:rsidR="00000000" w:rsidRPr="00000000">
              <w:rPr>
                <w:rtl w:val="0"/>
              </w:rPr>
            </w:r>
          </w:p>
          <w:p w:rsidR="00000000" w:rsidDel="00000000" w:rsidP="00000000" w:rsidRDefault="00000000" w:rsidRPr="00000000" w14:paraId="00000075">
            <w:pPr>
              <w:spacing w:after="0" w:lineRule="auto"/>
              <w:rPr/>
            </w:pPr>
            <w:hyperlink r:id="rId14">
              <w:r w:rsidDel="00000000" w:rsidR="00000000" w:rsidRPr="00000000">
                <w:rPr>
                  <w:color w:val="2f5597"/>
                  <w:u w:val="single"/>
                  <w:rtl w:val="0"/>
                </w:rPr>
                <w:t xml:space="preserve">doi:10.1063/5.0297006</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sz w:val="17"/>
                <w:szCs w:val="17"/>
                <w:rtl w:val="0"/>
              </w:rPr>
              <w:t xml:space="preserve">Establishes MACE-MP-0 as a general-purpose atomistic foundation model usable across diverse materials and molecular simulations.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sz w:val="17"/>
                <w:szCs w:val="17"/>
                <w:rtl w:val="0"/>
              </w:rPr>
              <w:t xml:space="preserve">Provides the MACE-MP-0 comparator and supports the claim that one pretrained model can replace chemistry-specific fits for many tasks.</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78">
            <w:pPr>
              <w:spacing w:after="20" w:lineRule="auto"/>
              <w:rPr/>
            </w:pPr>
            <w:r w:rsidDel="00000000" w:rsidR="00000000" w:rsidRPr="00000000">
              <w:rPr>
                <w:b w:val="1"/>
                <w:bCs w:val="1"/>
                <w:sz w:val="17"/>
                <w:szCs w:val="17"/>
                <w:rtl w:val="0"/>
              </w:rPr>
              <w:t xml:space="preserve">Dembitskiy et al. (2025), “Benchmarking machine learning models for predicting lithium ion migration,” npj Computational Materials 11, 131.</w:t>
            </w:r>
            <w:r w:rsidDel="00000000" w:rsidR="00000000" w:rsidRPr="00000000">
              <w:rPr>
                <w:rtl w:val="0"/>
              </w:rPr>
            </w:r>
          </w:p>
          <w:p w:rsidR="00000000" w:rsidDel="00000000" w:rsidP="00000000" w:rsidRDefault="00000000" w:rsidRPr="00000000" w14:paraId="00000079">
            <w:pPr>
              <w:spacing w:after="0" w:lineRule="auto"/>
              <w:rPr/>
            </w:pPr>
            <w:hyperlink r:id="rId15">
              <w:r w:rsidDel="00000000" w:rsidR="00000000" w:rsidRPr="00000000">
                <w:rPr>
                  <w:color w:val="2f5597"/>
                  <w:u w:val="single"/>
                  <w:rtl w:val="0"/>
                </w:rPr>
                <w:t xml:space="preserve">doi:10.1038/s41524-025-01571-z</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A">
            <w:pPr>
              <w:spacing w:after="0" w:lineRule="auto"/>
              <w:rPr/>
            </w:pPr>
            <w:r w:rsidDel="00000000" w:rsidR="00000000" w:rsidRPr="00000000">
              <w:rPr>
                <w:sz w:val="17"/>
                <w:szCs w:val="17"/>
                <w:rtl w:val="0"/>
              </w:rPr>
              <w:t xml:space="preserve">Introduced LiTraj (BVEL13k, nebBVSE122k, nebDFT2k, MPLiTrj) and benchmarked multiple uMLIPs for Li migration paths and barriers.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sz w:val="17"/>
                <w:szCs w:val="17"/>
                <w:rtl w:val="0"/>
              </w:rPr>
              <w:t xml:space="preserve">Primary dataset/benchmark precedent for E3-SSE barrier tests; establishes exactly where current uMLIP migration errors remain.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C">
            <w:pPr>
              <w:spacing w:after="20" w:lineRule="auto"/>
              <w:rPr/>
            </w:pPr>
            <w:r w:rsidDel="00000000" w:rsidR="00000000" w:rsidRPr="00000000">
              <w:rPr>
                <w:b w:val="1"/>
                <w:bCs w:val="1"/>
                <w:sz w:val="17"/>
                <w:szCs w:val="17"/>
                <w:rtl w:val="0"/>
              </w:rPr>
              <w:t xml:space="preserve">Du et al. (2025), “Assessment and Application of Universal Machine Learning Interatomic Potentials in Solid-State Electrolyte Research,” ACS Materials Letters 7, 3403-3412.</w:t>
            </w:r>
            <w:r w:rsidDel="00000000" w:rsidR="00000000" w:rsidRPr="00000000">
              <w:rPr>
                <w:rtl w:val="0"/>
              </w:rPr>
            </w:r>
          </w:p>
          <w:p w:rsidR="00000000" w:rsidDel="00000000" w:rsidP="00000000" w:rsidRDefault="00000000" w:rsidRPr="00000000" w14:paraId="0000007D">
            <w:pPr>
              <w:spacing w:after="0" w:lineRule="auto"/>
              <w:rPr/>
            </w:pPr>
            <w:hyperlink r:id="rId16">
              <w:r w:rsidDel="00000000" w:rsidR="00000000" w:rsidRPr="00000000">
                <w:rPr>
                  <w:color w:val="2f5597"/>
                  <w:u w:val="single"/>
                  <w:rtl w:val="0"/>
                </w:rPr>
                <w:t xml:space="preserve">doi:10.1021/acsmaterialslett.5c00336</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lineRule="auto"/>
              <w:rPr/>
            </w:pPr>
            <w:r w:rsidDel="00000000" w:rsidR="00000000" w:rsidRPr="00000000">
              <w:rPr>
                <w:sz w:val="17"/>
                <w:szCs w:val="17"/>
                <w:rtl w:val="0"/>
              </w:rPr>
              <w:t xml:space="preserve">Benchmarked 12 MLIPs across SSE-relevant energies, forces, phonons, stability, mechanics, and Li diffusivity.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lineRule="auto"/>
              <w:rPr/>
            </w:pPr>
            <w:r w:rsidDel="00000000" w:rsidR="00000000" w:rsidRPr="00000000">
              <w:rPr>
                <w:sz w:val="17"/>
                <w:szCs w:val="17"/>
                <w:rtl w:val="0"/>
              </w:rPr>
              <w:t xml:space="preserve">Broad SSE-specific uMLIP benchmark; shows model choice remains property dependent.</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80">
            <w:pPr>
              <w:spacing w:after="20" w:lineRule="auto"/>
              <w:rPr/>
            </w:pPr>
            <w:r w:rsidDel="00000000" w:rsidR="00000000" w:rsidRPr="00000000">
              <w:rPr>
                <w:b w:val="1"/>
                <w:bCs w:val="1"/>
                <w:sz w:val="17"/>
                <w:szCs w:val="17"/>
                <w:rtl w:val="0"/>
              </w:rPr>
              <w:t xml:space="preserve">Bheemaguli, Xiao &amp; Sai Gautam (2026), “Evaluation of foundational machine learned interatomic potentials for migration barrier predictions,” Digital Discovery 5, 1809-1819.</w:t>
            </w:r>
            <w:r w:rsidDel="00000000" w:rsidR="00000000" w:rsidRPr="00000000">
              <w:rPr>
                <w:rtl w:val="0"/>
              </w:rPr>
            </w:r>
          </w:p>
          <w:p w:rsidR="00000000" w:rsidDel="00000000" w:rsidP="00000000" w:rsidRDefault="00000000" w:rsidRPr="00000000" w14:paraId="00000081">
            <w:pPr>
              <w:spacing w:after="0" w:lineRule="auto"/>
              <w:rPr/>
            </w:pPr>
            <w:hyperlink r:id="rId17">
              <w:r w:rsidDel="00000000" w:rsidR="00000000" w:rsidRPr="00000000">
                <w:rPr>
                  <w:color w:val="2f5597"/>
                  <w:u w:val="single"/>
                  <w:rtl w:val="0"/>
                </w:rPr>
                <w:t xml:space="preserve">doi:10.1039/D5DD00534E</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2">
            <w:pPr>
              <w:spacing w:after="0" w:lineRule="auto"/>
              <w:rPr/>
            </w:pPr>
            <w:r w:rsidDel="00000000" w:rsidR="00000000" w:rsidRPr="00000000">
              <w:rPr>
                <w:sz w:val="17"/>
                <w:szCs w:val="17"/>
                <w:rtl w:val="0"/>
              </w:rPr>
              <w:t xml:space="preserve">Benchmarked foundation MLIPs coupled to NEB across battery-relevant chemistries, directly assessing migration-barrier and path accuracy.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3">
            <w:pPr>
              <w:spacing w:after="0" w:lineRule="auto"/>
              <w:rPr/>
            </w:pPr>
            <w:r w:rsidDel="00000000" w:rsidR="00000000" w:rsidRPr="00000000">
              <w:rPr>
                <w:sz w:val="17"/>
                <w:szCs w:val="17"/>
                <w:rtl w:val="0"/>
              </w:rPr>
              <w:t xml:space="preserve">Very close contemporary comparator; Related Work should explicitly distinguish E3-SSE correction/selection goals from pure model benchmarking.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4">
            <w:pPr>
              <w:spacing w:after="20" w:lineRule="auto"/>
              <w:rPr/>
            </w:pPr>
            <w:r w:rsidDel="00000000" w:rsidR="00000000" w:rsidRPr="00000000">
              <w:rPr>
                <w:b w:val="1"/>
                <w:bCs w:val="1"/>
                <w:sz w:val="17"/>
                <w:szCs w:val="17"/>
                <w:rtl w:val="0"/>
              </w:rPr>
              <w:t xml:space="preserve">Guo, Gui &amp; Wang (2026), “Benchmarking Universal Machine Learning Interatomic Potentials for Alkali-Ion Battery Kinetics,” ACS Materials Letters 8, 1891-1899.</w:t>
            </w:r>
            <w:r w:rsidDel="00000000" w:rsidR="00000000" w:rsidRPr="00000000">
              <w:rPr>
                <w:rtl w:val="0"/>
              </w:rPr>
            </w:r>
          </w:p>
          <w:p w:rsidR="00000000" w:rsidDel="00000000" w:rsidP="00000000" w:rsidRDefault="00000000" w:rsidRPr="00000000" w14:paraId="00000085">
            <w:pPr>
              <w:spacing w:after="0" w:lineRule="auto"/>
              <w:rPr/>
            </w:pPr>
            <w:hyperlink r:id="rId18">
              <w:r w:rsidDel="00000000" w:rsidR="00000000" w:rsidRPr="00000000">
                <w:rPr>
                  <w:color w:val="2f5597"/>
                  <w:u w:val="single"/>
                  <w:rtl w:val="0"/>
                </w:rPr>
                <w:t xml:space="preserve">doi:10.1021/acsmaterialslett.6c00134</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0" w:lineRule="auto"/>
              <w:rPr/>
            </w:pPr>
            <w:r w:rsidDel="00000000" w:rsidR="00000000" w:rsidRPr="00000000">
              <w:rPr>
                <w:sz w:val="17"/>
                <w:szCs w:val="17"/>
                <w:rtl w:val="0"/>
              </w:rPr>
              <w:t xml:space="preserve">Benchmarks both static migration barriers and dynamic ion transport and identifies non-equilibrium/high-temperature training coverage as a major driver of kinetic fidelity.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after="0" w:lineRule="auto"/>
              <w:rPr/>
            </w:pPr>
            <w:r w:rsidDel="00000000" w:rsidR="00000000" w:rsidRPr="00000000">
              <w:rPr>
                <w:sz w:val="17"/>
                <w:szCs w:val="17"/>
                <w:rtl w:val="0"/>
              </w:rPr>
              <w:t xml:space="preserve">Important 2026 evidence connecting training-distribution coverage to transport accuracy; strengthens E3-SSE mechanistic test.</w:t>
            </w:r>
            <w:r w:rsidDel="00000000" w:rsidR="00000000" w:rsidRPr="00000000">
              <w:rPr>
                <w:rtl w:val="0"/>
              </w:rPr>
            </w:r>
          </w:p>
        </w:tc>
      </w:tr>
    </w:tbl>
    <w:p w:rsidR="00000000" w:rsidDel="00000000" w:rsidP="00000000" w:rsidRDefault="00000000" w:rsidRPr="00000000" w14:paraId="00000088">
      <w:pPr>
        <w:spacing w:after="2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6.3 Systematic PES softening, correction strategies, and training-data coverage</w:t>
      </w:r>
    </w:p>
    <w:p w:rsidR="00000000" w:rsidDel="00000000" w:rsidP="00000000" w:rsidRDefault="00000000" w:rsidRPr="00000000" w14:paraId="0000008A">
      <w:pPr>
        <w:rPr/>
      </w:pPr>
      <w:r w:rsidDel="00000000" w:rsidR="00000000" w:rsidRPr="00000000">
        <w:rPr>
          <w:rtl w:val="0"/>
        </w:rPr>
        <w:t xml:space="preserve">This is the conceptual centre of the Related Work. Start with the systematic-softening evidence, then describe fine-tuning as the best-established repair, and finally show that OMat24 and MatPES attack the upstream cause by including broader non-equilibrium configurations. The gap is the absence, in the targeted literature search, of a validated transport correction that estimates a scalar softening scale from static labels and analytically propagates it to barriers/diffusion without retraining.</w:t>
      </w:r>
    </w:p>
    <w:tbl>
      <w:tblPr>
        <w:tblStyle w:val="Table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Paper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8C">
            <w:pPr>
              <w:rPr/>
            </w:pPr>
            <w:r w:rsidDel="00000000" w:rsidR="00000000" w:rsidRPr="00000000">
              <w:rPr>
                <w:b w:val="1"/>
                <w:bCs w:val="1"/>
                <w:color w:val="ffffff"/>
                <w:sz w:val="18"/>
                <w:szCs w:val="18"/>
                <w:rtl w:val="0"/>
              </w:rPr>
              <w:t xml:space="preserve">What it establishes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Role in E3-SSE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8E">
            <w:pPr>
              <w:spacing w:after="20" w:lineRule="auto"/>
              <w:rPr/>
            </w:pPr>
            <w:r w:rsidDel="00000000" w:rsidR="00000000" w:rsidRPr="00000000">
              <w:rPr>
                <w:b w:val="1"/>
                <w:bCs w:val="1"/>
                <w:sz w:val="17"/>
                <w:szCs w:val="17"/>
                <w:rtl w:val="0"/>
              </w:rPr>
              <w:t xml:space="preserve">Deng et al. (2025), “Systematic softening in universal machine learning interatomic potentials,” npj Computational Materials 11, 9.</w:t>
            </w:r>
            <w:r w:rsidDel="00000000" w:rsidR="00000000" w:rsidRPr="00000000">
              <w:rPr>
                <w:rtl w:val="0"/>
              </w:rPr>
            </w:r>
          </w:p>
          <w:p w:rsidR="00000000" w:rsidDel="00000000" w:rsidP="00000000" w:rsidRDefault="00000000" w:rsidRPr="00000000" w14:paraId="0000008F">
            <w:pPr>
              <w:spacing w:after="0" w:lineRule="auto"/>
              <w:rPr/>
            </w:pPr>
            <w:hyperlink r:id="rId19">
              <w:r w:rsidDel="00000000" w:rsidR="00000000" w:rsidRPr="00000000">
                <w:rPr>
                  <w:color w:val="2f5597"/>
                  <w:u w:val="single"/>
                  <w:rtl w:val="0"/>
                </w:rPr>
                <w:t xml:space="preserve">doi:10.1038/s41524-024-01500-6</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0">
            <w:pPr>
              <w:spacing w:after="0" w:lineRule="auto"/>
              <w:rPr/>
            </w:pPr>
            <w:r w:rsidDel="00000000" w:rsidR="00000000" w:rsidRPr="00000000">
              <w:rPr>
                <w:sz w:val="17"/>
                <w:szCs w:val="17"/>
                <w:rtl w:val="0"/>
              </w:rPr>
              <w:t xml:space="preserve">Demonstrates systematic underprediction of high-energy PES energies/forces/curvature in M3GNet, CHGNet, and MACE-MP-0 and links it to near-equilibrium-biased pretraining data.</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1">
            <w:pPr>
              <w:spacing w:after="0" w:lineRule="auto"/>
              <w:rPr/>
            </w:pPr>
            <w:r w:rsidDel="00000000" w:rsidR="00000000" w:rsidRPr="00000000">
              <w:rPr>
                <w:sz w:val="17"/>
                <w:szCs w:val="17"/>
                <w:rtl w:val="0"/>
              </w:rPr>
              <w:t xml:space="preserve">Central problem paper. E3-SSE begins where this paper stops: turning a measured softening scale into an analytic, transport-specific correction and testing 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2">
            <w:pPr>
              <w:spacing w:after="20" w:lineRule="auto"/>
              <w:rPr/>
            </w:pPr>
            <w:r w:rsidDel="00000000" w:rsidR="00000000" w:rsidRPr="00000000">
              <w:rPr>
                <w:b w:val="1"/>
                <w:bCs w:val="1"/>
                <w:sz w:val="17"/>
                <w:szCs w:val="17"/>
                <w:rtl w:val="0"/>
              </w:rPr>
              <w:t xml:space="preserve">Kim et al. (2026), “An efficient forgetting-aware fine-tuning framework for pretrained universal machine-learning interatomic potentials,” npj Computational Materials 12, 26.</w:t>
            </w:r>
            <w:r w:rsidDel="00000000" w:rsidR="00000000" w:rsidRPr="00000000">
              <w:rPr>
                <w:rtl w:val="0"/>
              </w:rPr>
            </w:r>
          </w:p>
          <w:p w:rsidR="00000000" w:rsidDel="00000000" w:rsidP="00000000" w:rsidRDefault="00000000" w:rsidRPr="00000000" w14:paraId="00000093">
            <w:pPr>
              <w:spacing w:after="0" w:lineRule="auto"/>
              <w:rPr/>
            </w:pPr>
            <w:hyperlink r:id="rId20">
              <w:r w:rsidDel="00000000" w:rsidR="00000000" w:rsidRPr="00000000">
                <w:rPr>
                  <w:color w:val="2f5597"/>
                  <w:u w:val="single"/>
                  <w:rtl w:val="0"/>
                </w:rPr>
                <w:t xml:space="preserve">doi:10.1038/s41524-025-01895-w</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lineRule="auto"/>
              <w:rPr/>
            </w:pPr>
            <w:r w:rsidDel="00000000" w:rsidR="00000000" w:rsidRPr="00000000">
              <w:rPr>
                <w:sz w:val="17"/>
                <w:szCs w:val="17"/>
                <w:rtl w:val="0"/>
              </w:rPr>
              <w:t xml:space="preserve">Uses replay plus elastic-weight-consolidation fine-tuning to correct softening and overestimated Li diffusivity while limiting catastrophic forgetting.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sz w:val="17"/>
                <w:szCs w:val="17"/>
                <w:rtl w:val="0"/>
              </w:rPr>
              <w:t xml:space="preserve">Primary current remedy/comparator. Clarifies E3-SSE’s distinct question: how much correction is achievable without retraining?</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96">
            <w:pPr>
              <w:spacing w:after="20" w:lineRule="auto"/>
              <w:rPr/>
            </w:pPr>
            <w:r w:rsidDel="00000000" w:rsidR="00000000" w:rsidRPr="00000000">
              <w:rPr>
                <w:b w:val="1"/>
                <w:bCs w:val="1"/>
                <w:sz w:val="17"/>
                <w:szCs w:val="17"/>
                <w:rtl w:val="0"/>
              </w:rPr>
              <w:t xml:space="preserve">Barros-Luque et al. (2026), “The Open Materials 2024 (OMat24) inorganic materials dataset and models,” Nature Computational Science 6, 642-652.</w:t>
            </w:r>
            <w:r w:rsidDel="00000000" w:rsidR="00000000" w:rsidRPr="00000000">
              <w:rPr>
                <w:rtl w:val="0"/>
              </w:rPr>
            </w:r>
          </w:p>
          <w:p w:rsidR="00000000" w:rsidDel="00000000" w:rsidP="00000000" w:rsidRDefault="00000000" w:rsidRPr="00000000" w14:paraId="00000097">
            <w:pPr>
              <w:spacing w:after="0" w:lineRule="auto"/>
              <w:rPr/>
            </w:pPr>
            <w:hyperlink r:id="rId21">
              <w:r w:rsidDel="00000000" w:rsidR="00000000" w:rsidRPr="00000000">
                <w:rPr>
                  <w:color w:val="2f5597"/>
                  <w:u w:val="single"/>
                  <w:rtl w:val="0"/>
                </w:rPr>
                <w:t xml:space="preserve">doi:10.1038/s43588-026-00996-w</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8">
            <w:pPr>
              <w:spacing w:after="0" w:lineRule="auto"/>
              <w:rPr/>
            </w:pPr>
            <w:r w:rsidDel="00000000" w:rsidR="00000000" w:rsidRPr="00000000">
              <w:rPr>
                <w:sz w:val="17"/>
                <w:szCs w:val="17"/>
                <w:rtl w:val="0"/>
              </w:rPr>
              <w:t xml:space="preserve">Provides &gt;110 million diverse DFT calculations and explicitly reports that broader configuration diversity corrects the consistent softening bias of earlier models.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9">
            <w:pPr>
              <w:spacing w:after="0" w:lineRule="auto"/>
              <w:rPr/>
            </w:pPr>
            <w:r w:rsidDel="00000000" w:rsidR="00000000" w:rsidRPr="00000000">
              <w:rPr>
                <w:sz w:val="17"/>
                <w:szCs w:val="17"/>
                <w:rtl w:val="0"/>
              </w:rPr>
              <w:t xml:space="preserve">Key mechanistic evidence for the pretraining-coverage hypothesis; supplies a high-coverage model/data contrast.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A">
            <w:pPr>
              <w:spacing w:after="20" w:lineRule="auto"/>
              <w:rPr/>
            </w:pPr>
            <w:r w:rsidDel="00000000" w:rsidR="00000000" w:rsidRPr="00000000">
              <w:rPr>
                <w:b w:val="1"/>
                <w:bCs w:val="1"/>
                <w:sz w:val="17"/>
                <w:szCs w:val="17"/>
                <w:rtl w:val="0"/>
              </w:rPr>
              <w:t xml:space="preserve">Kaplan et al. (2025), “A Foundational Potential Energy Surface Dataset for Materials,” arXiv:2503.04070 [preprint].</w:t>
            </w:r>
            <w:r w:rsidDel="00000000" w:rsidR="00000000" w:rsidRPr="00000000">
              <w:rPr>
                <w:rtl w:val="0"/>
              </w:rPr>
            </w:r>
          </w:p>
          <w:p w:rsidR="00000000" w:rsidDel="00000000" w:rsidP="00000000" w:rsidRDefault="00000000" w:rsidRPr="00000000" w14:paraId="0000009B">
            <w:pPr>
              <w:spacing w:after="0" w:lineRule="auto"/>
              <w:rPr/>
            </w:pPr>
            <w:hyperlink r:id="rId22">
              <w:r w:rsidDel="00000000" w:rsidR="00000000" w:rsidRPr="00000000">
                <w:rPr>
                  <w:color w:val="2f5597"/>
                  <w:u w:val="single"/>
                  <w:rtl w:val="0"/>
                </w:rPr>
                <w:t xml:space="preserve">doi:10.48550/arXiv.2503.04070</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lineRule="auto"/>
              <w:rPr/>
            </w:pPr>
            <w:r w:rsidDel="00000000" w:rsidR="00000000" w:rsidRPr="00000000">
              <w:rPr>
                <w:sz w:val="17"/>
                <w:szCs w:val="17"/>
                <w:rtl w:val="0"/>
              </w:rPr>
              <w:t xml:space="preserve">Introduces MatPES: about 400,000 structures sampled from 281 million MD snapshots, explicitly designed to improve PES coverage beyond relaxation trajectories.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D">
            <w:pPr>
              <w:spacing w:after="0" w:lineRule="auto"/>
              <w:rPr/>
            </w:pPr>
            <w:r w:rsidDel="00000000" w:rsidR="00000000" w:rsidRPr="00000000">
              <w:rPr>
                <w:sz w:val="17"/>
                <w:szCs w:val="17"/>
                <w:rtl w:val="0"/>
              </w:rPr>
              <w:t xml:space="preserve">Useful intermediate/off-equilibrium training-data contrast. Keep clearly labelled as a preprint unless a peer-reviewed version appears before submission.</w:t>
            </w:r>
            <w:r w:rsidDel="00000000" w:rsidR="00000000" w:rsidRPr="00000000">
              <w:rPr>
                <w:rtl w:val="0"/>
              </w:rPr>
            </w:r>
          </w:p>
        </w:tc>
      </w:tr>
    </w:tbl>
    <w:p w:rsidR="00000000" w:rsidDel="00000000" w:rsidP="00000000" w:rsidRDefault="00000000" w:rsidRPr="00000000" w14:paraId="0000009E">
      <w:pPr>
        <w:spacing w:after="2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6.4 From uncertainty estimates to controlled scientific selection</w:t>
      </w:r>
    </w:p>
    <w:p w:rsidR="00000000" w:rsidDel="00000000" w:rsidP="00000000" w:rsidRDefault="00000000" w:rsidRPr="00000000" w14:paraId="000000A0">
      <w:pPr>
        <w:rPr/>
      </w:pPr>
      <w:r w:rsidDel="00000000" w:rsidR="00000000" w:rsidRPr="00000000">
        <w:rPr>
          <w:rtl w:val="0"/>
        </w:rPr>
        <w:t xml:space="preserve">Distinguish uncertainty quantification from decision control. MLIP ensembles or conformal intervals can say how uncertain a prediction is; a screening campaign instead needs a guarantee on the composition of the selected set. Introduce conformal p-values, Benjamini-Hochberg FDR control, successful use in compound screening, and weighted conformal selection for covariate shift. The targeted search for this planning document did not identify a published application of this pipeline to uMLIP-based Li-ion conductor screening.</w:t>
      </w:r>
    </w:p>
    <w:tbl>
      <w:tblPr>
        <w:tblStyle w:val="Table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A1">
            <w:pPr>
              <w:rPr/>
            </w:pPr>
            <w:r w:rsidDel="00000000" w:rsidR="00000000" w:rsidRPr="00000000">
              <w:rPr>
                <w:b w:val="1"/>
                <w:bCs w:val="1"/>
                <w:color w:val="ffffff"/>
                <w:sz w:val="18"/>
                <w:szCs w:val="18"/>
                <w:rtl w:val="0"/>
              </w:rPr>
              <w:t xml:space="preserve">Paper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A2">
            <w:pPr>
              <w:rPr/>
            </w:pPr>
            <w:r w:rsidDel="00000000" w:rsidR="00000000" w:rsidRPr="00000000">
              <w:rPr>
                <w:b w:val="1"/>
                <w:bCs w:val="1"/>
                <w:color w:val="ffffff"/>
                <w:sz w:val="18"/>
                <w:szCs w:val="18"/>
                <w:rtl w:val="0"/>
              </w:rPr>
              <w:t xml:space="preserve">What it establishes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A3">
            <w:pPr>
              <w:rPr/>
            </w:pPr>
            <w:r w:rsidDel="00000000" w:rsidR="00000000" w:rsidRPr="00000000">
              <w:rPr>
                <w:b w:val="1"/>
                <w:bCs w:val="1"/>
                <w:color w:val="ffffff"/>
                <w:sz w:val="18"/>
                <w:szCs w:val="18"/>
                <w:rtl w:val="0"/>
              </w:rPr>
              <w:t xml:space="preserve">Role in E3-SSE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A4">
            <w:pPr>
              <w:spacing w:after="20" w:lineRule="auto"/>
              <w:rPr/>
            </w:pPr>
            <w:r w:rsidDel="00000000" w:rsidR="00000000" w:rsidRPr="00000000">
              <w:rPr>
                <w:b w:val="1"/>
                <w:bCs w:val="1"/>
                <w:sz w:val="17"/>
                <w:szCs w:val="17"/>
                <w:rtl w:val="0"/>
              </w:rPr>
              <w:t xml:space="preserve">Hu et al. (2022), “Robust and scalable uncertainty estimation with conformal prediction for machine-learned interatomic potentials,” Machine Learning: Science and Technology 3, 045028.</w:t>
            </w:r>
            <w:r w:rsidDel="00000000" w:rsidR="00000000" w:rsidRPr="00000000">
              <w:rPr>
                <w:rtl w:val="0"/>
              </w:rPr>
            </w:r>
          </w:p>
          <w:p w:rsidR="00000000" w:rsidDel="00000000" w:rsidP="00000000" w:rsidRDefault="00000000" w:rsidRPr="00000000" w14:paraId="000000A5">
            <w:pPr>
              <w:spacing w:after="0" w:lineRule="auto"/>
              <w:rPr/>
            </w:pPr>
            <w:hyperlink r:id="rId23">
              <w:r w:rsidDel="00000000" w:rsidR="00000000" w:rsidRPr="00000000">
                <w:rPr>
                  <w:color w:val="2f5597"/>
                  <w:u w:val="single"/>
                  <w:rtl w:val="0"/>
                </w:rPr>
                <w:t xml:space="preserve">doi:10.1088/2632-2153/aca7b1</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sz w:val="17"/>
                <w:szCs w:val="17"/>
                <w:rtl w:val="0"/>
              </w:rPr>
              <w:t xml:space="preserve">Combines conformal prediction with latent-space distances to calibrate ML interatomic-potential uncertainty efficiently.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sz w:val="17"/>
                <w:szCs w:val="17"/>
                <w:rtl w:val="0"/>
              </w:rPr>
              <w:t xml:space="preserve">Shows conformal ideas have entered MLIP uncertainty quantification, but this is prediction uncertainty rather than shortlist-level FDR 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8">
            <w:pPr>
              <w:spacing w:after="20" w:lineRule="auto"/>
              <w:rPr/>
            </w:pPr>
            <w:r w:rsidDel="00000000" w:rsidR="00000000" w:rsidRPr="00000000">
              <w:rPr>
                <w:b w:val="1"/>
                <w:bCs w:val="1"/>
                <w:sz w:val="17"/>
                <w:szCs w:val="17"/>
                <w:rtl w:val="0"/>
              </w:rPr>
              <w:t xml:space="preserve">Benjamini &amp; Hochberg (1995), “Controlling the False Discovery Rate: A Practical and Powerful Approach to Multiple Testing,” JRSS B 57, 289-300.</w:t>
            </w:r>
            <w:r w:rsidDel="00000000" w:rsidR="00000000" w:rsidRPr="00000000">
              <w:rPr>
                <w:rtl w:val="0"/>
              </w:rPr>
            </w:r>
          </w:p>
          <w:p w:rsidR="00000000" w:rsidDel="00000000" w:rsidP="00000000" w:rsidRDefault="00000000" w:rsidRPr="00000000" w14:paraId="000000A9">
            <w:pPr>
              <w:spacing w:after="0" w:lineRule="auto"/>
              <w:rPr/>
            </w:pPr>
            <w:hyperlink r:id="rId24">
              <w:r w:rsidDel="00000000" w:rsidR="00000000" w:rsidRPr="00000000">
                <w:rPr>
                  <w:color w:val="2f5597"/>
                  <w:u w:val="single"/>
                  <w:rtl w:val="0"/>
                </w:rPr>
                <w:t xml:space="preserve">doi:10.1111/j.2517-6161.1995.tb02031.x</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sz w:val="17"/>
                <w:szCs w:val="17"/>
                <w:rtl w:val="0"/>
              </w:rPr>
              <w:t xml:space="preserve">Introduces the classical multiple-testing procedure for controlling the expected false-discovery proportion.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sz w:val="17"/>
                <w:szCs w:val="17"/>
                <w:rtl w:val="0"/>
              </w:rPr>
              <w:t xml:space="preserve">Statistical foundation of the shortlist decision rule used after conformal p-values are constructed.</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AC">
            <w:pPr>
              <w:spacing w:after="20" w:lineRule="auto"/>
              <w:rPr/>
            </w:pPr>
            <w:r w:rsidDel="00000000" w:rsidR="00000000" w:rsidRPr="00000000">
              <w:rPr>
                <w:b w:val="1"/>
                <w:bCs w:val="1"/>
                <w:sz w:val="17"/>
                <w:szCs w:val="17"/>
                <w:rtl w:val="0"/>
              </w:rPr>
              <w:t xml:space="preserve">Jin &amp; Candès (2023), “Selection by Prediction with Conformal p-values,” Journal of Machine Learning Research 24(244), 1-41.</w:t>
            </w:r>
            <w:r w:rsidDel="00000000" w:rsidR="00000000" w:rsidRPr="00000000">
              <w:rPr>
                <w:rtl w:val="0"/>
              </w:rPr>
            </w:r>
          </w:p>
          <w:p w:rsidR="00000000" w:rsidDel="00000000" w:rsidP="00000000" w:rsidRDefault="00000000" w:rsidRPr="00000000" w14:paraId="000000AD">
            <w:pPr>
              <w:spacing w:after="0" w:lineRule="auto"/>
              <w:rPr/>
            </w:pPr>
            <w:hyperlink r:id="rId25">
              <w:r w:rsidDel="00000000" w:rsidR="00000000" w:rsidRPr="00000000">
                <w:rPr>
                  <w:color w:val="2f5597"/>
                  <w:u w:val="single"/>
                  <w:rtl w:val="0"/>
                </w:rPr>
                <w:t xml:space="preserve">JMLR article</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sz w:val="17"/>
                <w:szCs w:val="17"/>
                <w:rtl w:val="0"/>
              </w:rPr>
              <w:t xml:space="preserve">Wraps arbitrary predictive models with conformal p-values and multiple-testing thresholds to select candidates while controlling false selections under exchangeability.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sz w:val="17"/>
                <w:szCs w:val="17"/>
                <w:rtl w:val="0"/>
              </w:rPr>
              <w:t xml:space="preserve">Core method for E3-SSE candidate selection; separates predictive accuracy from formal selection validity.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0">
            <w:pPr>
              <w:spacing w:after="20" w:lineRule="auto"/>
              <w:rPr/>
            </w:pPr>
            <w:r w:rsidDel="00000000" w:rsidR="00000000" w:rsidRPr="00000000">
              <w:rPr>
                <w:b w:val="1"/>
                <w:bCs w:val="1"/>
                <w:sz w:val="17"/>
                <w:szCs w:val="17"/>
                <w:rtl w:val="0"/>
              </w:rPr>
              <w:t xml:space="preserve">Bai et al. (2025), “Conformal Selection for Efficient and Accurate Compound Screening in Drug Discovery,” Journal of Chemical Information and Modeling 65, 13070-13085.</w:t>
            </w:r>
            <w:r w:rsidDel="00000000" w:rsidR="00000000" w:rsidRPr="00000000">
              <w:rPr>
                <w:rtl w:val="0"/>
              </w:rPr>
            </w:r>
          </w:p>
          <w:p w:rsidR="00000000" w:rsidDel="00000000" w:rsidP="00000000" w:rsidRDefault="00000000" w:rsidRPr="00000000" w14:paraId="000000B1">
            <w:pPr>
              <w:spacing w:after="0" w:lineRule="auto"/>
              <w:rPr/>
            </w:pPr>
            <w:hyperlink r:id="rId26">
              <w:r w:rsidDel="00000000" w:rsidR="00000000" w:rsidRPr="00000000">
                <w:rPr>
                  <w:color w:val="2f5597"/>
                  <w:u w:val="single"/>
                  <w:rtl w:val="0"/>
                </w:rPr>
                <w:t xml:space="preserve">doi:10.1021/acs.jcim.5c01633</w:t>
              </w:r>
            </w:hyperlink>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lineRule="auto"/>
              <w:rPr/>
            </w:pPr>
            <w:r w:rsidDel="00000000" w:rsidR="00000000" w:rsidRPr="00000000">
              <w:rPr>
                <w:sz w:val="17"/>
                <w:szCs w:val="17"/>
                <w:rtl w:val="0"/>
              </w:rPr>
              <w:t xml:space="preserve">Demonstrates conformal selection in a real scientific screening domain with explicit false-discovery/omission risk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sz w:val="17"/>
                <w:szCs w:val="17"/>
                <w:rtl w:val="0"/>
              </w:rPr>
              <w:t xml:space="preserve">Strong application analogue showing why controlled selection is useful beyond reporting predictor accuracy.</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B4">
            <w:pPr>
              <w:spacing w:after="20" w:lineRule="auto"/>
              <w:rPr/>
            </w:pPr>
            <w:r w:rsidDel="00000000" w:rsidR="00000000" w:rsidRPr="00000000">
              <w:rPr>
                <w:b w:val="1"/>
                <w:bCs w:val="1"/>
                <w:sz w:val="17"/>
                <w:szCs w:val="17"/>
                <w:rtl w:val="0"/>
              </w:rPr>
              <w:t xml:space="preserve">Jin &amp; Candès (2026), “Model-free selective inference under covariate shift via weighted conformal p-values,” Biometrika 113(1), asaf066.</w:t>
            </w:r>
            <w:r w:rsidDel="00000000" w:rsidR="00000000" w:rsidRPr="00000000">
              <w:rPr>
                <w:rtl w:val="0"/>
              </w:rPr>
            </w:r>
          </w:p>
          <w:p w:rsidR="00000000" w:rsidDel="00000000" w:rsidP="00000000" w:rsidRDefault="00000000" w:rsidRPr="00000000" w14:paraId="000000B5">
            <w:pPr>
              <w:spacing w:after="0" w:lineRule="auto"/>
              <w:rPr/>
            </w:pPr>
            <w:hyperlink r:id="rId27">
              <w:r w:rsidDel="00000000" w:rsidR="00000000" w:rsidRPr="00000000">
                <w:rPr>
                  <w:color w:val="2f5597"/>
                  <w:u w:val="single"/>
                  <w:rtl w:val="0"/>
                </w:rPr>
                <w:t xml:space="preserve">doi:10.1093/biomet/asaf066</w:t>
              </w:r>
            </w:hyperlink>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6">
            <w:pPr>
              <w:spacing w:after="0" w:lineRule="auto"/>
              <w:rPr/>
            </w:pPr>
            <w:r w:rsidDel="00000000" w:rsidR="00000000" w:rsidRPr="00000000">
              <w:rPr>
                <w:sz w:val="17"/>
                <w:szCs w:val="17"/>
                <w:rtl w:val="0"/>
              </w:rPr>
              <w:t xml:space="preserve">Extends conformal selective inference to covariate shift and develops weighted conformal selection with finite-sample FDR control.</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7">
            <w:pPr>
              <w:spacing w:after="0" w:lineRule="auto"/>
              <w:rPr/>
            </w:pPr>
            <w:r w:rsidDel="00000000" w:rsidR="00000000" w:rsidRPr="00000000">
              <w:rPr>
                <w:sz w:val="17"/>
                <w:szCs w:val="17"/>
                <w:rtl w:val="0"/>
              </w:rPr>
              <w:t xml:space="preserve">Methodological basis for the prospective screen if its candidate distribution differs from the calibration data.</w:t>
            </w:r>
            <w:r w:rsidDel="00000000" w:rsidR="00000000" w:rsidRPr="00000000">
              <w:rPr>
                <w:rtl w:val="0"/>
              </w:rPr>
            </w:r>
          </w:p>
        </w:tc>
      </w:tr>
    </w:tbl>
    <w:p w:rsidR="00000000" w:rsidDel="00000000" w:rsidP="00000000" w:rsidRDefault="00000000" w:rsidRPr="00000000" w14:paraId="000000B8">
      <w:pPr>
        <w:spacing w:after="20" w:lineRule="auto"/>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7. The research gap after the literature is organised coherently</w:t>
      </w:r>
    </w:p>
    <w:p w:rsidR="00000000" w:rsidDel="00000000" w:rsidP="00000000" w:rsidRDefault="00000000" w:rsidRPr="00000000" w14:paraId="000000BA">
      <w:pPr>
        <w:rPr/>
      </w:pPr>
      <w:r w:rsidDel="00000000" w:rsidR="00000000" w:rsidRPr="00000000">
        <w:rPr>
          <w:rtl w:val="0"/>
        </w:rPr>
        <w:t xml:space="preserve">The papers above suggest a much sharper gap statement than “foundation potentials have not been sufficiently studied.” Foundation potentials are now heavily benchmarked, and softening has already been identified. The gap is the missing connection between a diagnosed systematic error, a physics-derived no-training correction, and a statistically controlled screening decision.</w:t>
      </w:r>
    </w:p>
    <w:p w:rsidR="00000000" w:rsidDel="00000000" w:rsidP="00000000" w:rsidRDefault="00000000" w:rsidRPr="00000000" w14:paraId="000000BB">
      <w:pPr>
        <w:rPr/>
      </w:pPr>
      <w:r w:rsidDel="00000000" w:rsidR="00000000" w:rsidRPr="00000000">
        <w:rPr>
          <w:b w:val="1"/>
          <w:bCs w:val="1"/>
          <w:color w:val="17365d"/>
          <w:rtl w:val="0"/>
        </w:rPr>
        <w:t xml:space="preserve">Gap 1 - correction mechanism</w:t>
      </w:r>
      <w:r w:rsidDel="00000000" w:rsidR="00000000" w:rsidRPr="00000000">
        <w:rPr>
          <w:rtl w:val="0"/>
        </w:rPr>
        <w:t xml:space="preserve">. Softening is documented and fine-tuning can correct it, but the targeted search did not identify a transport workflow that converts a measured scalar softening scale into analytic temperature/time/barrier rescaling and validates the resulting correction against both NEB and FPMD references.</w:t>
      </w:r>
    </w:p>
    <w:p w:rsidR="00000000" w:rsidDel="00000000" w:rsidP="00000000" w:rsidRDefault="00000000" w:rsidRPr="00000000" w14:paraId="000000BC">
      <w:pPr>
        <w:rPr/>
      </w:pPr>
      <w:r w:rsidDel="00000000" w:rsidR="00000000" w:rsidRPr="00000000">
        <w:rPr>
          <w:b w:val="1"/>
          <w:bCs w:val="1"/>
          <w:color w:val="17365d"/>
          <w:rtl w:val="0"/>
        </w:rPr>
        <w:t xml:space="preserve">Gap 2 - cost of correction</w:t>
      </w:r>
      <w:r w:rsidDel="00000000" w:rsidR="00000000" w:rsidRPr="00000000">
        <w:rPr>
          <w:rtl w:val="0"/>
        </w:rPr>
        <w:t xml:space="preserve">. Existing papers show that small amounts of targeted data can be powerful, but there is no established label-budget law telling a screening practitioner how many static DFT frames are needed to estimate the softening scale accurately enough for downstream transport correction.</w:t>
      </w:r>
    </w:p>
    <w:p w:rsidR="00000000" w:rsidDel="00000000" w:rsidP="00000000" w:rsidRDefault="00000000" w:rsidRPr="00000000" w14:paraId="000000BD">
      <w:pPr>
        <w:rPr/>
      </w:pPr>
      <w:r w:rsidDel="00000000" w:rsidR="00000000" w:rsidRPr="00000000">
        <w:rPr>
          <w:b w:val="1"/>
          <w:bCs w:val="1"/>
          <w:color w:val="17365d"/>
          <w:rtl w:val="0"/>
        </w:rPr>
        <w:t xml:space="preserve">Gap 3 - mechanism across pretraining distributions</w:t>
      </w:r>
      <w:r w:rsidDel="00000000" w:rsidR="00000000" w:rsidRPr="00000000">
        <w:rPr>
          <w:rtl w:val="0"/>
        </w:rPr>
        <w:t xml:space="preserve">. Recent OMat24 and MatPES work supports the hypothesis that broader non-equilibrium training data reduces softening. E3-SSE can turn that observation into a transport-specific dose-response test: less softening should imply smaller SRT gains.</w:t>
      </w:r>
    </w:p>
    <w:p w:rsidR="00000000" w:rsidDel="00000000" w:rsidP="00000000" w:rsidRDefault="00000000" w:rsidRPr="00000000" w14:paraId="000000BE">
      <w:pPr>
        <w:rPr/>
      </w:pPr>
      <w:r w:rsidDel="00000000" w:rsidR="00000000" w:rsidRPr="00000000">
        <w:rPr>
          <w:b w:val="1"/>
          <w:bCs w:val="1"/>
          <w:color w:val="17365d"/>
          <w:rtl w:val="0"/>
        </w:rPr>
        <w:t xml:space="preserve">Gap 4 - decision reliability</w:t>
      </w:r>
      <w:r w:rsidDel="00000000" w:rsidR="00000000" w:rsidRPr="00000000">
        <w:rPr>
          <w:rtl w:val="0"/>
        </w:rPr>
        <w:t xml:space="preserve">. Current transport benchmarks primarily report prediction errors or classification metrics. They do not directly control the expected fraction of false candidates in the final shortlist. Conformal selection provides the statistical machinery, but the targeted search did not find it applied to uMLIP-based ionic-conductor screening.</w:t>
      </w:r>
    </w:p>
    <w:p w:rsidR="00000000" w:rsidDel="00000000" w:rsidP="00000000" w:rsidRDefault="00000000" w:rsidRPr="00000000" w14:paraId="000000BF">
      <w:pPr>
        <w:pStyle w:val="Heading1"/>
        <w:rPr/>
      </w:pPr>
      <w:r w:rsidDel="00000000" w:rsidR="00000000" w:rsidRPr="00000000">
        <w:rPr>
          <w:rtl w:val="0"/>
        </w:rPr>
        <w:t xml:space="preserve">8. Paragraph-by-paragraph outline for the Related Work</w:t>
      </w:r>
    </w:p>
    <w:p w:rsidR="00000000" w:rsidDel="00000000" w:rsidP="00000000" w:rsidRDefault="00000000" w:rsidRPr="00000000" w14:paraId="000000C0">
      <w:pPr>
        <w:rPr/>
      </w:pPr>
      <w:r w:rsidDel="00000000" w:rsidR="00000000" w:rsidRPr="00000000">
        <w:rPr>
          <w:b w:val="1"/>
          <w:bCs w:val="1"/>
          <w:rtl w:val="0"/>
        </w:rPr>
        <w:t xml:space="preserve">RW1 - Computational discovery of solid electrolytes</w:t>
      </w:r>
      <w:r w:rsidDel="00000000" w:rsidR="00000000" w:rsidRPr="00000000">
        <w:rPr>
          <w:rtl w:val="0"/>
        </w:rPr>
        <w:t xml:space="preserve">. Start with the scale of the materials search and the progression from descriptor-based screens to first-principles transport funnels. End by making transport evaluation, not just stability, the bottleneck.</w:t>
      </w:r>
    </w:p>
    <w:p w:rsidR="00000000" w:rsidDel="00000000" w:rsidP="00000000" w:rsidRDefault="00000000" w:rsidRPr="00000000" w14:paraId="000000C1">
      <w:pPr>
        <w:rPr/>
      </w:pPr>
      <w:r w:rsidDel="00000000" w:rsidR="00000000" w:rsidRPr="00000000">
        <w:rPr>
          <w:b w:val="1"/>
          <w:bCs w:val="1"/>
          <w:rtl w:val="0"/>
        </w:rPr>
        <w:t xml:space="preserve">RW2 - Transferable atomistic foundation models</w:t>
      </w:r>
      <w:r w:rsidDel="00000000" w:rsidR="00000000" w:rsidRPr="00000000">
        <w:rPr>
          <w:rtl w:val="0"/>
        </w:rPr>
        <w:t xml:space="preserve">. Introduce M3GNet, CHGNet, SevenNet, and MACE-MP-0 in one compact paragraph. Emphasise transferability and speed; avoid architecture details that do not affect the argument.</w:t>
      </w:r>
    </w:p>
    <w:p w:rsidR="00000000" w:rsidDel="00000000" w:rsidP="00000000" w:rsidRDefault="00000000" w:rsidRPr="00000000" w14:paraId="000000C2">
      <w:pPr>
        <w:rPr/>
      </w:pPr>
      <w:r w:rsidDel="00000000" w:rsidR="00000000" w:rsidRPr="00000000">
        <w:rPr>
          <w:b w:val="1"/>
          <w:bCs w:val="1"/>
          <w:rtl w:val="0"/>
        </w:rPr>
        <w:t xml:space="preserve">RW3 - What Li-ion transport benchmarks now show</w:t>
      </w:r>
      <w:r w:rsidDel="00000000" w:rsidR="00000000" w:rsidRPr="00000000">
        <w:rPr>
          <w:rtl w:val="0"/>
        </w:rPr>
        <w:t xml:space="preserve">. Use LiTraj plus the 2025-2026 SSE/kinetics benchmarks. Establish that barriers and diffusivities remain more demanding than equilibrium energies and that performance depends on chemistry and training coverage.</w:t>
      </w:r>
    </w:p>
    <w:p w:rsidR="00000000" w:rsidDel="00000000" w:rsidP="00000000" w:rsidRDefault="00000000" w:rsidRPr="00000000" w14:paraId="000000C3">
      <w:pPr>
        <w:rPr/>
      </w:pPr>
      <w:r w:rsidDel="00000000" w:rsidR="00000000" w:rsidRPr="00000000">
        <w:rPr>
          <w:b w:val="1"/>
          <w:bCs w:val="1"/>
          <w:rtl w:val="0"/>
        </w:rPr>
        <w:t xml:space="preserve">RW4 - Systematic softening as a specific failure mode</w:t>
      </w:r>
      <w:r w:rsidDel="00000000" w:rsidR="00000000" w:rsidRPr="00000000">
        <w:rPr>
          <w:rtl w:val="0"/>
        </w:rPr>
        <w:t xml:space="preserve">. Present Deng et al. as the key diagnostic work. Explain the near-equilibrium-data mechanism, then connect it to Li barrier underestimation and diffusivity inflation.</w:t>
      </w:r>
    </w:p>
    <w:p w:rsidR="00000000" w:rsidDel="00000000" w:rsidP="00000000" w:rsidRDefault="00000000" w:rsidRPr="00000000" w14:paraId="000000C4">
      <w:pPr>
        <w:rPr/>
      </w:pPr>
      <w:r w:rsidDel="00000000" w:rsidR="00000000" w:rsidRPr="00000000">
        <w:rPr>
          <w:b w:val="1"/>
          <w:bCs w:val="1"/>
          <w:rtl w:val="0"/>
        </w:rPr>
        <w:t xml:space="preserve">RW5 - Existing remedies and why SRT asks a different question</w:t>
      </w:r>
      <w:r w:rsidDel="00000000" w:rsidR="00000000" w:rsidRPr="00000000">
        <w:rPr>
          <w:rtl w:val="0"/>
        </w:rPr>
        <w:t xml:space="preserve">. Describe forgetting-aware fine-tuning and richer OMat24/MatPES training data fairly. Then state the narrower E3-SSE question: for a model already in hand, what fraction of transport error can be removed from a measured scalar without retraining?</w:t>
      </w:r>
    </w:p>
    <w:p w:rsidR="00000000" w:rsidDel="00000000" w:rsidP="00000000" w:rsidRDefault="00000000" w:rsidRPr="00000000" w14:paraId="000000C5">
      <w:pPr>
        <w:rPr/>
      </w:pPr>
      <w:r w:rsidDel="00000000" w:rsidR="00000000" w:rsidRPr="00000000">
        <w:rPr>
          <w:b w:val="1"/>
          <w:bCs w:val="1"/>
          <w:rtl w:val="0"/>
        </w:rPr>
        <w:t xml:space="preserve">RW6 - From calibrated uncertainty to reliable selection</w:t>
      </w:r>
      <w:r w:rsidDel="00000000" w:rsidR="00000000" w:rsidRPr="00000000">
        <w:rPr>
          <w:rtl w:val="0"/>
        </w:rPr>
        <w:t xml:space="preserve">. Move from MLIP uncertainty calibration to conformal selection and BH FDR control. Explain that predictor quality controls power, while the selection framework targets false discoveries under its assumptions.</w:t>
      </w:r>
    </w:p>
    <w:p w:rsidR="00000000" w:rsidDel="00000000" w:rsidP="00000000" w:rsidRDefault="00000000" w:rsidRPr="00000000" w14:paraId="000000C6">
      <w:pPr>
        <w:rPr/>
      </w:pPr>
      <w:r w:rsidDel="00000000" w:rsidR="00000000" w:rsidRPr="00000000">
        <w:rPr>
          <w:b w:val="1"/>
          <w:bCs w:val="1"/>
          <w:rtl w:val="0"/>
        </w:rPr>
        <w:t xml:space="preserve">RW7 - Final synthesis/gap paragraph</w:t>
      </w:r>
      <w:r w:rsidDel="00000000" w:rsidR="00000000" w:rsidRPr="00000000">
        <w:rPr>
          <w:rtl w:val="0"/>
        </w:rPr>
        <w:t xml:space="preserve">. State the four gaps above in 4-6 sentences and lead directly to SRT plus conformal selection. This paragraph should make the Introduction contribution list feel inevitable rather than appended.</w:t>
      </w:r>
    </w:p>
    <w:p w:rsidR="00000000" w:rsidDel="00000000" w:rsidP="00000000" w:rsidRDefault="00000000" w:rsidRPr="00000000" w14:paraId="000000C7">
      <w:pPr>
        <w:pStyle w:val="Heading1"/>
        <w:rPr/>
      </w:pPr>
      <w:r w:rsidDel="00000000" w:rsidR="00000000" w:rsidRPr="00000000">
        <w:rPr>
          <w:rtl w:val="0"/>
        </w:rPr>
        <w:t xml:space="preserve">9. Reading priority for the team</w:t>
      </w:r>
    </w:p>
    <w:p w:rsidR="00000000" w:rsidDel="00000000" w:rsidP="00000000" w:rsidRDefault="00000000" w:rsidRPr="00000000" w14:paraId="000000C8">
      <w:pPr>
        <w:rPr/>
      </w:pPr>
      <w:r w:rsidDel="00000000" w:rsidR="00000000" w:rsidRPr="00000000">
        <w:rPr>
          <w:rtl w:val="0"/>
        </w:rPr>
        <w:t xml:space="preserve">For efficient reading, the literature can be divided into three passes. This order gives a new team member the project logic before the technical detail.</w:t>
      </w:r>
    </w:p>
    <w:tbl>
      <w:tblPr>
        <w:tblStyle w:val="Table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0"/>
        </w:trPr>
        <w:tc>
          <w:tcPr>
            <w:shd w:fill="17365d" w:val="clear"/>
            <w:tcMar>
              <w:top w:w="80.0" w:type="dxa"/>
              <w:bottom w:w="80.0" w:type="dxa"/>
            </w:tcMar>
            <w:vAlign w:val="center"/>
          </w:tcPr>
          <w:p w:rsidR="00000000" w:rsidDel="00000000" w:rsidP="00000000" w:rsidRDefault="00000000" w:rsidRPr="00000000" w14:paraId="000000C9">
            <w:pPr>
              <w:rPr/>
            </w:pPr>
            <w:r w:rsidDel="00000000" w:rsidR="00000000" w:rsidRPr="00000000">
              <w:rPr>
                <w:b w:val="1"/>
                <w:bCs w:val="1"/>
                <w:color w:val="ffffff"/>
                <w:rtl w:val="0"/>
              </w:rPr>
              <w:t xml:space="preserve">Priority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CA">
            <w:pPr>
              <w:rPr/>
            </w:pPr>
            <w:r w:rsidDel="00000000" w:rsidR="00000000" w:rsidRPr="00000000">
              <w:rPr>
                <w:b w:val="1"/>
                <w:bCs w:val="1"/>
                <w:color w:val="ffffff"/>
                <w:rtl w:val="0"/>
              </w:rPr>
              <w:t xml:space="preserve">Papers</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CB">
            <w:pPr>
              <w:rPr/>
            </w:pPr>
            <w:r w:rsidDel="00000000" w:rsidR="00000000" w:rsidRPr="00000000">
              <w:rPr>
                <w:b w:val="1"/>
                <w:bCs w:val="1"/>
                <w:rtl w:val="0"/>
              </w:rPr>
              <w:t xml:space="preserve">Read first - core argument</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CC">
            <w:pPr>
              <w:rPr/>
            </w:pPr>
            <w:r w:rsidDel="00000000" w:rsidR="00000000" w:rsidRPr="00000000">
              <w:rPr>
                <w:rtl w:val="0"/>
              </w:rPr>
              <w:t xml:space="preserve">Deng et al. (2025) softening; Dembitskiy et al. (2025) LiTraj; Kim et al. (2026) fine-tuning/Li diffusivity; Bheemaguli et al. (2026) migration barriers; Guo et al. (2026) battery kinetics; Jin &amp; Candès (2023) conformal selection.</w:t>
            </w:r>
          </w:p>
        </w:tc>
      </w:tr>
      <w:tr>
        <w:trPr>
          <w:cantSplit w:val="1"/>
          <w:tblHeader w:val="0"/>
        </w:trPr>
        <w:tc>
          <w:tcPr>
            <w:tcMar>
              <w:top w:w="80.0" w:type="dxa"/>
              <w:bottom w:w="80.0" w:type="dxa"/>
            </w:tcMar>
            <w:vAlign w:val="center"/>
          </w:tcPr>
          <w:p w:rsidR="00000000" w:rsidDel="00000000" w:rsidP="00000000" w:rsidRDefault="00000000" w:rsidRPr="00000000" w14:paraId="000000CD">
            <w:pPr>
              <w:rPr/>
            </w:pPr>
            <w:r w:rsidDel="00000000" w:rsidR="00000000" w:rsidRPr="00000000">
              <w:rPr>
                <w:b w:val="1"/>
                <w:bCs w:val="1"/>
                <w:rtl w:val="0"/>
              </w:rPr>
              <w:t xml:space="preserve">Read second - field and model 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rPr/>
            </w:pPr>
            <w:r w:rsidDel="00000000" w:rsidR="00000000" w:rsidRPr="00000000">
              <w:rPr>
                <w:rtl w:val="0"/>
              </w:rPr>
              <w:t xml:space="preserve">Kahle et al. (2020); Thakur et al. (2026); M3GNet; CHGNet; SevenNet; MACE-MP-0; Du et al. (2025).</w:t>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CF">
            <w:pPr>
              <w:rPr/>
            </w:pPr>
            <w:r w:rsidDel="00000000" w:rsidR="00000000" w:rsidRPr="00000000">
              <w:rPr>
                <w:b w:val="1"/>
                <w:bCs w:val="1"/>
                <w:rtl w:val="0"/>
              </w:rPr>
              <w:t xml:space="preserve">Read third - mechanism and selection extensions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D0">
            <w:pPr>
              <w:rPr/>
            </w:pPr>
            <w:r w:rsidDel="00000000" w:rsidR="00000000" w:rsidRPr="00000000">
              <w:rPr>
                <w:rtl w:val="0"/>
              </w:rPr>
              <w:t xml:space="preserve">OMat24 (2026); MatPES preprint; Hu et al. (2022); Benjamini &amp; Hochberg (1995); Bai et al. (2025); Jin &amp; Candès (2026).</w:t>
            </w:r>
          </w:p>
        </w:tc>
      </w:tr>
    </w:tbl>
    <w:p w:rsidR="00000000" w:rsidDel="00000000" w:rsidP="00000000" w:rsidRDefault="00000000" w:rsidRPr="00000000" w14:paraId="000000D1">
      <w:pPr>
        <w:pStyle w:val="Heading1"/>
        <w:rPr/>
      </w:pPr>
      <w:r w:rsidDel="00000000" w:rsidR="00000000" w:rsidRPr="00000000">
        <w:rPr>
          <w:rtl w:val="0"/>
        </w:rPr>
        <w:t xml:space="preserve">10. Development and server-execution model</w:t>
      </w:r>
    </w:p>
    <w:p w:rsidR="00000000" w:rsidDel="00000000" w:rsidP="00000000" w:rsidRDefault="00000000" w:rsidRPr="00000000" w14:paraId="000000D2">
      <w:pPr>
        <w:rPr/>
      </w:pPr>
      <w:r w:rsidDel="00000000" w:rsidR="00000000" w:rsidRPr="00000000">
        <w:rPr>
          <w:b w:val="1"/>
          <w:bCs w:val="1"/>
          <w:rtl w:val="0"/>
        </w:rPr>
        <w:t xml:space="preserve">Recommended workflow: </w:t>
      </w:r>
      <w:r w:rsidDel="00000000" w:rsidR="00000000" w:rsidRPr="00000000">
        <w:rPr>
          <w:rtl w:val="0"/>
        </w:rPr>
        <w:t xml:space="preserve">develop and review code locally in VS Code, version source code and documentation through Git/GitHub, and execute data-intensive jobs on the server where the datasets already reside. Large research datasets and generated trajectories should remain outside Git.</w:t>
      </w:r>
    </w:p>
    <w:tbl>
      <w:tblPr>
        <w:tblStyle w:val="Table1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0"/>
        </w:trPr>
        <w:tc>
          <w:tcPr>
            <w:shd w:fill="17365d" w:val="clear"/>
            <w:tcMar>
              <w:top w:w="80.0" w:type="dxa"/>
              <w:bottom w:w="80.0" w:type="dxa"/>
            </w:tcMar>
            <w:vAlign w:val="center"/>
          </w:tcPr>
          <w:p w:rsidR="00000000" w:rsidDel="00000000" w:rsidP="00000000" w:rsidRDefault="00000000" w:rsidRPr="00000000" w14:paraId="000000D3">
            <w:pPr>
              <w:rPr/>
            </w:pPr>
            <w:r w:rsidDel="00000000" w:rsidR="00000000" w:rsidRPr="00000000">
              <w:rPr>
                <w:b w:val="1"/>
                <w:bCs w:val="1"/>
                <w:color w:val="ffffff"/>
                <w:rtl w:val="0"/>
              </w:rPr>
              <w:t xml:space="preserve">Layer</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D4">
            <w:pPr>
              <w:rPr/>
            </w:pPr>
            <w:r w:rsidDel="00000000" w:rsidR="00000000" w:rsidRPr="00000000">
              <w:rPr>
                <w:b w:val="1"/>
                <w:bCs w:val="1"/>
                <w:color w:val="ffffff"/>
                <w:rtl w:val="0"/>
              </w:rPr>
              <w:t xml:space="preserve">Responsibility</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D5">
            <w:pPr>
              <w:rPr/>
            </w:pPr>
            <w:r w:rsidDel="00000000" w:rsidR="00000000" w:rsidRPr="00000000">
              <w:rPr>
                <w:b w:val="1"/>
                <w:bCs w:val="1"/>
                <w:rtl w:val="0"/>
              </w:rPr>
              <w:t xml:space="preserve">Local workstation / VS Code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D6">
            <w:pPr>
              <w:rPr/>
            </w:pPr>
            <w:r w:rsidDel="00000000" w:rsidR="00000000" w:rsidRPr="00000000">
              <w:rPr>
                <w:rtl w:val="0"/>
              </w:rPr>
              <w:t xml:space="preserve">Write code, tests, configuration templates, documentation, and small smoke tests.</w:t>
            </w:r>
          </w:p>
        </w:tc>
      </w:tr>
      <w:tr>
        <w:trPr>
          <w:cantSplit w:val="1"/>
          <w:tblHeader w:val="0"/>
        </w:trPr>
        <w:tc>
          <w:tcPr>
            <w:tcMar>
              <w:top w:w="80.0" w:type="dxa"/>
              <w:bottom w:w="80.0" w:type="dxa"/>
            </w:tcMar>
            <w:vAlign w:val="center"/>
          </w:tcPr>
          <w:p w:rsidR="00000000" w:rsidDel="00000000" w:rsidP="00000000" w:rsidRDefault="00000000" w:rsidRPr="00000000" w14:paraId="000000D7">
            <w:pPr>
              <w:rPr/>
            </w:pPr>
            <w:r w:rsidDel="00000000" w:rsidR="00000000" w:rsidRPr="00000000">
              <w:rPr>
                <w:b w:val="1"/>
                <w:bCs w:val="1"/>
                <w:rtl w:val="0"/>
              </w:rPr>
              <w:t xml:space="preserve">GitHub 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rPr/>
            </w:pPr>
            <w:r w:rsidDel="00000000" w:rsidR="00000000" w:rsidRPr="00000000">
              <w:rPr>
                <w:rtl w:val="0"/>
              </w:rPr>
              <w:t xml:space="preserve">Version-control code and decisions. Do not commit large raw datasets, model checkpoints that can be fetched reproducibly, or bulk outputs.</w:t>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D9">
            <w:pPr>
              <w:rPr/>
            </w:pPr>
            <w:r w:rsidDel="00000000" w:rsidR="00000000" w:rsidRPr="00000000">
              <w:rPr>
                <w:b w:val="1"/>
                <w:bCs w:val="1"/>
                <w:rtl w:val="0"/>
              </w:rPr>
              <w:t xml:space="preserve">Server: /srv/ben/e3sse/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DA">
            <w:pPr>
              <w:rPr/>
            </w:pPr>
            <w:r w:rsidDel="00000000" w:rsidR="00000000" w:rsidRPr="00000000">
              <w:rPr>
                <w:rtl w:val="0"/>
              </w:rPr>
              <w:t xml:space="preserve">Pull the tagged/committed code, run inference/NEB/MD jobs, and write logs plus versioned outputs.</w:t>
            </w:r>
          </w:p>
        </w:tc>
      </w:tr>
      <w:tr>
        <w:trPr>
          <w:cantSplit w:val="1"/>
          <w:tblHeader w:val="0"/>
        </w:trPr>
        <w:tc>
          <w:tcPr>
            <w:tcMar>
              <w:top w:w="80.0" w:type="dxa"/>
              <w:bottom w:w="80.0" w:type="dxa"/>
            </w:tcMar>
            <w:vAlign w:val="center"/>
          </w:tcPr>
          <w:p w:rsidR="00000000" w:rsidDel="00000000" w:rsidP="00000000" w:rsidRDefault="00000000" w:rsidRPr="00000000" w14:paraId="000000DB">
            <w:pPr>
              <w:rPr/>
            </w:pPr>
            <w:r w:rsidDel="00000000" w:rsidR="00000000" w:rsidRPr="00000000">
              <w:rPr>
                <w:b w:val="1"/>
                <w:bCs w:val="1"/>
                <w:rtl w:val="0"/>
              </w:rPr>
              <w:t xml:space="preserve">Server data root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rPr/>
            </w:pPr>
            <w:r w:rsidDel="00000000" w:rsidR="00000000" w:rsidRPr="00000000">
              <w:rPr>
                <w:rtl w:val="0"/>
              </w:rPr>
              <w:t xml:space="preserve">Existing data include MPLiTrj, nebDFT2k, BVEL13k, nebBVSE122k, and FPMD archives under /srv/ben/e3sse/data/.</w:t>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DD">
            <w:pPr>
              <w:rPr/>
            </w:pPr>
            <w:r w:rsidDel="00000000" w:rsidR="00000000" w:rsidRPr="00000000">
              <w:rPr>
                <w:b w:val="1"/>
                <w:bCs w:val="1"/>
                <w:rtl w:val="0"/>
              </w:rPr>
              <w:t xml:space="preserve">Reproducibility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DE">
            <w:pPr>
              <w:rPr/>
            </w:pPr>
            <w:r w:rsidDel="00000000" w:rsidR="00000000" w:rsidRPr="00000000">
              <w:rPr>
                <w:rtl w:val="0"/>
              </w:rPr>
              <w:t xml:space="preserve">Store a manifest, environment lock/specification, configuration for paths/model versions/seeds, and a run metadata file containing Git commit hash plus input/output identifiers.</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994.0" w:type="dxa"/>
        <w:jc w:val="center"/>
        <w:tblLayout w:type="fixed"/>
        <w:tblLook w:val="0400"/>
      </w:tblPr>
      <w:tblGrid>
        <w:gridCol w:w="9994"/>
        <w:tblGridChange w:id="0">
          <w:tblGrid>
            <w:gridCol w:w="9994"/>
          </w:tblGrid>
        </w:tblGridChange>
      </w:tblGrid>
      <w:tr>
        <w:trPr>
          <w:cantSplit w:val="1"/>
          <w:tblHeader w:val="0"/>
        </w:trPr>
        <w:tc>
          <w:tcPr>
            <w:tcBorders>
              <w:top w:color="70ad47" w:space="0" w:sz="6" w:val="single"/>
              <w:left w:color="70ad47" w:space="0" w:sz="6" w:val="single"/>
              <w:bottom w:color="70ad47" w:space="0" w:sz="6" w:val="single"/>
              <w:right w:color="70ad47" w:space="0" w:sz="6" w:val="single"/>
            </w:tcBorders>
            <w:shd w:fill="e2f0d9" w:val="clear"/>
            <w:tcMar>
              <w:top w:w="120.0" w:type="dxa"/>
              <w:bottom w:w="120.0" w:type="dxa"/>
            </w:tcMar>
            <w:vAlign w:val="center"/>
          </w:tcPr>
          <w:p w:rsidR="00000000" w:rsidDel="00000000" w:rsidP="00000000" w:rsidRDefault="00000000" w:rsidRPr="00000000" w14:paraId="000000E0">
            <w:pPr>
              <w:spacing w:after="0" w:lineRule="auto"/>
              <w:rPr/>
            </w:pPr>
            <w:r w:rsidDel="00000000" w:rsidR="00000000" w:rsidRPr="00000000">
              <w:rPr>
                <w:b w:val="1"/>
                <w:bCs w:val="1"/>
                <w:color w:val="17365d"/>
                <w:sz w:val="21"/>
                <w:szCs w:val="21"/>
                <w:rtl w:val="0"/>
              </w:rPr>
              <w:t xml:space="preserve">Practical rule: GitHub stores the reproducible instructions; the server stores the heavy scientific data and executes the expensive calculations.</w:t>
            </w:r>
            <w:r w:rsidDel="00000000" w:rsidR="00000000" w:rsidRPr="00000000">
              <w:rPr>
                <w:rtl w:val="0"/>
              </w:rPr>
            </w:r>
          </w:p>
        </w:tc>
      </w:tr>
    </w:tbl>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References: verified papers for the Introduction and Related Work</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8"/>
          <w:szCs w:val="18"/>
          <w:u w:val="none"/>
          <w:shd w:fill="auto" w:val="clear"/>
          <w:vertAlign w:val="baseline"/>
          <w:rtl w:val="0"/>
        </w:rPr>
        <w:t xml:space="preserve">Bibliographic details below were checked against journal/publisher pages where available. MatPES is explicitly marked as a preprint. The list is a focused paper set for this manuscript, not yet a formal systematic review.</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Kamaya, N., Homma, K., Yamakawa, Y., et al. (2011). A lithium superionic conductor. Nature Materials, 10, 682-686. </w:t>
      </w:r>
      <w:hyperlink r:id="rId28">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doi.org/10.1038/nmat3066</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Sendek, A. D., Yang, Q., Cubuk, E. D., Duerloo, K.-A. N., Cui, Y., &amp; Reed, E. J. (2017). Holistic computational structure screening of more than 12,000 candidates for solid lithium-ion conductor materials. Energy &amp; Environmental Science, 10, 306-320. </w:t>
      </w:r>
      <w:hyperlink r:id="rId29">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doi.org/10.1039/C6EE02697D</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Kahle, L., Marcolongo, A., &amp; Marzari, N. (2020). High-throughput computational screening for solid-state Li-ion conductors. Energy &amp; Environmental Science, 13, 928-948. </w:t>
      </w:r>
      <w:hyperlink r:id="rId30">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doi.org/10.1039/C9EE02457C</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Thakur, T. S., Ercole, L., &amp; Marzari, N. (2026). Novel fast Li-ion conductors for solid-state electrolytes from first-principles. Energy &amp; Environmental Science, 19, 3214-3235. </w:t>
      </w:r>
      <w:hyperlink r:id="rId31">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doi.org/10.1039/D5EE07336G</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Chen, C., &amp; Ong, S. P. (2022). A universal graph deep learning interatomic potential for the periodic table. Nature Computational Science, 2, 718-728. </w:t>
      </w:r>
      <w:hyperlink r:id="rId32">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doi.org/10.1038/s43588-022-00349-3</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Deng, B., Zhong, P., Jun, K., et al. (2023). CHGNet as a pretrained universal neural network potential for charge-informed atomistic modelling. Nature Machine Intelligence, 5, 1031-1041. </w:t>
      </w:r>
      <w:hyperlink r:id="rId33">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doi.org/10.1038/s42256-023-00716-3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Park, Y., Kim, J., Hwang, S., &amp; Han, S. (2024). Scalable Parallel Algorithm for Graph Neural Network Interatomic Potentials in Molecular Dynamics Simulations. Journal of Chemical Theory and Computation, 20(11), 4857-4868. </w:t>
      </w:r>
      <w:hyperlink r:id="rId34">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doi.org/10.1021/acs.jctc.4c00190</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8. Batatia, I., Benner, P., Chiang, Y., et al. (2025). A foundation model for atomistic materials chemistry. The Journal of Chemical Physics, 163, 184110. </w:t>
      </w:r>
      <w:hyperlink r:id="rId35">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doi.org/10.1063/5.0297006</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9. Dembitskiy, A. D., Humonen, I. S., Eremin, R. A., et al. (2025). Benchmarking machine learning models for predicting lithium ion migration. npj Computational Materials, 11, 131. </w:t>
      </w:r>
      <w:hyperlink r:id="rId36">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doi.org/10.1038/s41524-025-01571-z</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 Du, H., Huang, X., Hui, J., Zhang, L., Zhou, Y., &amp; Wang, H. (2025). Assessment and Application of Universal Machine Learning Interatomic Potentials in Solid-State Electrolyte Research. ACS Materials Letters, 7(10), 3403-3412. </w:t>
      </w:r>
      <w:hyperlink r:id="rId37">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doi.org/10.1021/acsmaterialslett.5c00336</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11. Deng, B., Choi, Y., Zhong, P., et al. (2025). Systematic softening in universal machine learning interatomic potentials. npj Computational Materials, 11, 9. </w:t>
      </w:r>
      <w:hyperlink r:id="rId38">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doi.org/10.1038/s41524-024-01500-6</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 Kim, J., Lee, J., Oh, S., et al. (2026). An efficient forgetting-aware fine-tuning framework for pretrained universal machine-learning interatomic potentials. npj Computational Materials, 12, 26. </w:t>
      </w:r>
      <w:hyperlink r:id="rId39">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doi.org/10.1038/s41524-025-01895-w</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13. Bheemaguli, A. K., Xiao, P., &amp; Sai Gautam, G. (2026). Evaluation of foundational machine learned interatomic potentials for migration barrier predictions. Digital Discovery, 5, 1809-1819. </w:t>
      </w:r>
      <w:hyperlink r:id="rId40">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doi.org/10.1039/D5DD00534E</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14. Guo, X., Gui, C., &amp; Wang, Z. (2026). Benchmarking Universal Machine Learning Interatomic Potentials for Alkali-Ion Battery Kinetics. ACS Materials Letters, 8(7), 1891-1899. </w:t>
      </w:r>
      <w:hyperlink r:id="rId41">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doi.org/10.1021/acsmaterialslett.6c00134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15. Barros-Luque, L., Shuaibi, M., Fu, X., et al. (2026). The Open Materials 2024 (OMat24) inorganic materials dataset and models. Nature Computational Science, 6, 642-652. </w:t>
      </w:r>
      <w:hyperlink r:id="rId42">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doi.org/10.1038/s43588-026-00996-w</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16. Kaplan, A. D., Liu, R., Qi, J., Ko, T. W., Deng, B., Riebesell, J., Ceder, G., Persson, K. A., &amp; Ong, S. P. (2025). A Foundational Potential Energy Surface Dataset for Materials. arXiv:2503.04070 [preprint]. </w:t>
      </w:r>
      <w:hyperlink r:id="rId43">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doi.org/10.48550/arXiv.2503.04070</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17. Hu, Y., Musielewicz, J., Ulissi, Z. W., &amp; Medford, A. J. (2022). Robust and scalable uncertainty estimation with conformal prediction for machine-learned interatomic potentials. Machine Learning: Science and Technology, 3, 045028. </w:t>
      </w:r>
      <w:hyperlink r:id="rId44">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doi.org/10.1088/2632-2153/aca7b1</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18. Benjamini, Y., &amp; Hochberg, Y. (1995). Controlling the False Discovery Rate: A Practical and Powerful Approach to Multiple Testing. Journal of the Royal Statistical Society: Series B, 57(1), 289-300. </w:t>
      </w:r>
      <w:hyperlink r:id="rId45">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doi.org/10.1111/j.2517-6161.1995.tb02031.x</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19. Jin, Y., &amp; Candès, E. J. (2023). Selection by Prediction with Conformal p-values. Journal of Machine Learning Research, 24(244), 1-41. </w:t>
      </w:r>
      <w:hyperlink r:id="rId46">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www.jmlr.org/papers/v24/22-1176.html</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20. Bai, T., Tang, P., Xu, Y., et al. (2025). Conformal Selection for Efficient and Accurate Compound Screening in Drug Discovery. Journal of Chemical Information and Modeling, 65(24), 13070-13085. </w:t>
      </w:r>
      <w:hyperlink r:id="rId47">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doi.org/10.1021/acs.jcim.5c01633</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21. Jin, Y., &amp; Candès, E. J. (2026). Model-free selective inference under covariate shift via weighted conformal p-values. Biometrika, 113(1), asaf066. </w:t>
      </w:r>
      <w:hyperlink r:id="rId48">
        <w:r w:rsidDel="00000000" w:rsidR="00000000" w:rsidRPr="00000000">
          <w:rPr>
            <w:rFonts w:ascii="Aptos" w:cs="Aptos" w:eastAsia="Aptos" w:hAnsi="Aptos"/>
            <w:b w:val="0"/>
            <w:bCs w:val="0"/>
            <w:i w:val="0"/>
            <w:iCs w:val="0"/>
            <w:smallCaps w:val="0"/>
            <w:strike w:val="0"/>
            <w:color w:val="2f5597"/>
            <w:sz w:val="18"/>
            <w:szCs w:val="18"/>
            <w:u w:val="single"/>
            <w:shd w:fill="auto" w:val="clear"/>
            <w:vertAlign w:val="baseline"/>
            <w:rtl w:val="0"/>
          </w:rPr>
          <w:t xml:space="preserve">doi.org/10.1093/biomet/asaf066</w:t>
        </w:r>
      </w:hyperlink>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Recommended one-sentence manuscript positioning</w:t>
      </w:r>
    </w:p>
    <w:tbl>
      <w:tblPr>
        <w:tblStyle w:val="Table12"/>
        <w:tblW w:w="9994.0" w:type="dxa"/>
        <w:jc w:val="center"/>
        <w:tblLayout w:type="fixed"/>
        <w:tblLook w:val="0400"/>
      </w:tblPr>
      <w:tblGrid>
        <w:gridCol w:w="9994"/>
        <w:tblGridChange w:id="0">
          <w:tblGrid>
            <w:gridCol w:w="9994"/>
          </w:tblGrid>
        </w:tblGridChange>
      </w:tblGrid>
      <w:tr>
        <w:trPr>
          <w:cantSplit w:val="1"/>
          <w:tblHeader w:val="0"/>
        </w:trPr>
        <w:tc>
          <w:tcPr>
            <w:tcBorders>
              <w:top w:color="2f5597" w:space="0" w:sz="6" w:val="single"/>
              <w:left w:color="2f5597" w:space="0" w:sz="6" w:val="single"/>
              <w:bottom w:color="2f5597" w:space="0" w:sz="6" w:val="single"/>
              <w:right w:color="2f5597" w:space="0" w:sz="6" w:val="single"/>
            </w:tcBorders>
            <w:shd w:fill="eaf2f8" w:val="clear"/>
            <w:tcMar>
              <w:top w:w="120.0" w:type="dxa"/>
              <w:bottom w:w="120.0" w:type="dxa"/>
            </w:tcMar>
            <w:vAlign w:val="center"/>
          </w:tcPr>
          <w:p w:rsidR="00000000" w:rsidDel="00000000" w:rsidP="00000000" w:rsidRDefault="00000000" w:rsidRPr="00000000" w14:paraId="000000FA">
            <w:pPr>
              <w:spacing w:after="0" w:lineRule="auto"/>
              <w:rPr/>
            </w:pPr>
            <w:r w:rsidDel="00000000" w:rsidR="00000000" w:rsidRPr="00000000">
              <w:rPr>
                <w:b w:val="1"/>
                <w:bCs w:val="1"/>
                <w:color w:val="17365d"/>
                <w:sz w:val="21"/>
                <w:szCs w:val="21"/>
                <w:rtl w:val="0"/>
              </w:rPr>
              <w:t xml:space="preserve">E3-SSE tests whether a measurable scalar representation of potential-energy-surface softening can be converted through mechanical similarity into a training-free correction of foundation-potential Li-ion transport predictions, and whether those corrected predictions can support statistically controlled screening of candidate solid electrolytes.</w:t>
            </w:r>
            <w:r w:rsidDel="00000000" w:rsidR="00000000" w:rsidRPr="00000000">
              <w:rPr>
                <w:rtl w:val="0"/>
              </w:rPr>
            </w:r>
          </w:p>
        </w:tc>
      </w:tr>
    </w:tbl>
    <w:p w:rsidR="00000000" w:rsidDel="00000000" w:rsidP="00000000" w:rsidRDefault="00000000" w:rsidRPr="00000000" w14:paraId="000000FB">
      <w:pPr>
        <w:spacing w:after="0" w:lineRule="auto"/>
        <w:rPr/>
      </w:pPr>
      <w:r w:rsidDel="00000000" w:rsidR="00000000" w:rsidRPr="00000000">
        <w:rPr>
          <w:rtl w:val="0"/>
        </w:rPr>
      </w:r>
    </w:p>
    <w:sectPr>
      <w:headerReference r:id="rId49" w:type="default"/>
      <w:footerReference r:id="rId50" w:type="default"/>
      <w:pgSz w:h="15840" w:w="12240" w:orient="portrait"/>
      <w:pgMar w:bottom="936" w:top="936"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8"/>
        <w:szCs w:val="18"/>
        <w:u w:val="none"/>
        <w:shd w:fill="auto" w:val="clear"/>
        <w:vertAlign w:val="baseline"/>
        <w:rtl w:val="0"/>
      </w:rPr>
      <w:t xml:space="preserve">Working paper-planning document | Literature verified 23 September 2026   |   </w:t>
    </w:r>
    <w:r w:rsidDel="00000000" w:rsidR="00000000" w:rsidRPr="00000000">
      <w:rPr>
        <w:rFonts w:ascii="Aptos" w:cs="Aptos" w:eastAsia="Aptos" w:hAnsi="Aptos"/>
        <w:b w:val="0"/>
        <w:bCs w:val="0"/>
        <w:i w:val="0"/>
        <w:iCs w:val="0"/>
        <w:smallCaps w:val="0"/>
        <w:strike w:val="0"/>
        <w:color w:val="667085"/>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0"/>
        <w:bCs w:val="0"/>
        <w:i w:val="0"/>
        <w:iCs w:val="0"/>
        <w:smallCaps w:val="0"/>
        <w:strike w:val="0"/>
        <w:color w:val="667085"/>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8"/>
        <w:szCs w:val="18"/>
        <w:u w:val="none"/>
        <w:shd w:fill="auto" w:val="clear"/>
        <w:vertAlign w:val="baseline"/>
        <w:rtl w:val="0"/>
      </w:rPr>
      <w:t xml:space="preserve">E3-SSE | Paper Narrative and Related-Work Map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2f5597"/>
      <w:sz w:val="27"/>
      <w:szCs w:val="27"/>
    </w:rPr>
  </w:style>
  <w:style w:type="paragraph" w:styleId="Heading3">
    <w:name w:val="heading 3"/>
    <w:basedOn w:val="Normal"/>
    <w:next w:val="Normal"/>
    <w:pPr>
      <w:keepNext w:val="1"/>
      <w:keepLines w:val="1"/>
      <w:spacing w:after="80" w:before="200" w:lineRule="auto"/>
    </w:pPr>
    <w:rPr>
      <w:rFonts w:ascii="Aptos" w:cs="Aptos" w:eastAsia="Aptos" w:hAnsi="Aptos"/>
      <w:b w:val="1"/>
      <w:bCs w:val="1"/>
      <w:color w:val="17365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pPr>
      <w:spacing w:after="80"/>
    </w:pPr>
    <w:rPr>
      <w:rFonts w:ascii="Aptos" w:hAnsi="Aptos"/>
      <w:color w:val="667085"/>
      <w:sz w:val="18"/>
    </w:rPr>
  </w:style>
  <w:style w:type="paragraph" w:styleId="Reference" w:customStyle="1">
    <w:name w:val="Reference"/>
    <w:pPr>
      <w:spacing w:after="80" w:line="240" w:lineRule="auto"/>
      <w:ind w:left="360" w:hanging="360"/>
    </w:pPr>
    <w:rPr>
      <w:rFonts w:ascii="Aptos" w:hAnsi="Aptos"/>
      <w:sz w:val="18"/>
    </w:rPr>
  </w:style>
  <w:style w:type="paragraph" w:styleId="Subtitle">
    <w:name w:val="Subtitle"/>
    <w:basedOn w:val="Normal"/>
    <w:next w:val="Normal"/>
    <w:pPr/>
    <w:rPr>
      <w:rFonts w:ascii="Aptos" w:cs="Aptos" w:eastAsia="Aptos" w:hAnsi="Aptos"/>
      <w:i w:val="1"/>
      <w:iCs w:val="1"/>
      <w:color w:val="667085"/>
      <w:sz w:val="23"/>
      <w:szCs w:val="23"/>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9/D5DD00534E" TargetMode="External"/><Relationship Id="rId42" Type="http://schemas.openxmlformats.org/officeDocument/2006/relationships/hyperlink" Target="https://doi.org/10.1038/s43588-026-00996-w" TargetMode="External"/><Relationship Id="rId41" Type="http://schemas.openxmlformats.org/officeDocument/2006/relationships/hyperlink" Target="https://doi.org/10.1021/acsmaterialslett.6c00134" TargetMode="External"/><Relationship Id="rId44" Type="http://schemas.openxmlformats.org/officeDocument/2006/relationships/hyperlink" Target="https://doi.org/10.1088/2632-2153/aca7b1" TargetMode="External"/><Relationship Id="rId43" Type="http://schemas.openxmlformats.org/officeDocument/2006/relationships/hyperlink" Target="https://doi.org/10.48550/arXiv.2503.04070" TargetMode="External"/><Relationship Id="rId46" Type="http://schemas.openxmlformats.org/officeDocument/2006/relationships/hyperlink" Target="https://www.jmlr.org/papers/v24/22-1176.html" TargetMode="External"/><Relationship Id="rId45" Type="http://schemas.openxmlformats.org/officeDocument/2006/relationships/hyperlink" Target="https://doi.org/10.1111/j.2517-6161.1995.tb02031.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9/C9EE02457C" TargetMode="External"/><Relationship Id="rId48" Type="http://schemas.openxmlformats.org/officeDocument/2006/relationships/hyperlink" Target="https://doi.org/10.1093/biomet/asaf066" TargetMode="External"/><Relationship Id="rId47" Type="http://schemas.openxmlformats.org/officeDocument/2006/relationships/hyperlink" Target="https://doi.org/10.1021/acs.jcim.5c01633"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38/nmat3066" TargetMode="External"/><Relationship Id="rId8" Type="http://schemas.openxmlformats.org/officeDocument/2006/relationships/hyperlink" Target="https://doi.org/10.1039/C6EE02697D" TargetMode="External"/><Relationship Id="rId31" Type="http://schemas.openxmlformats.org/officeDocument/2006/relationships/hyperlink" Target="https://doi.org/10.1039/D5EE07336G" TargetMode="External"/><Relationship Id="rId30" Type="http://schemas.openxmlformats.org/officeDocument/2006/relationships/hyperlink" Target="https://doi.org/10.1039/C9EE02457C" TargetMode="External"/><Relationship Id="rId33" Type="http://schemas.openxmlformats.org/officeDocument/2006/relationships/hyperlink" Target="https://doi.org/10.1038/s42256-023-00716-3" TargetMode="External"/><Relationship Id="rId32" Type="http://schemas.openxmlformats.org/officeDocument/2006/relationships/hyperlink" Target="https://doi.org/10.1038/s43588-022-00349-3" TargetMode="External"/><Relationship Id="rId35" Type="http://schemas.openxmlformats.org/officeDocument/2006/relationships/hyperlink" Target="https://doi.org/10.1063/5.0297006" TargetMode="External"/><Relationship Id="rId34" Type="http://schemas.openxmlformats.org/officeDocument/2006/relationships/hyperlink" Target="https://doi.org/10.1021/acs.jctc.4c00190" TargetMode="External"/><Relationship Id="rId37" Type="http://schemas.openxmlformats.org/officeDocument/2006/relationships/hyperlink" Target="https://doi.org/10.1021/acsmaterialslett.5c00336" TargetMode="External"/><Relationship Id="rId36" Type="http://schemas.openxmlformats.org/officeDocument/2006/relationships/hyperlink" Target="https://doi.org/10.1038/s41524-025-01571-z" TargetMode="External"/><Relationship Id="rId39" Type="http://schemas.openxmlformats.org/officeDocument/2006/relationships/hyperlink" Target="https://doi.org/10.1038/s41524-025-01895-w" TargetMode="External"/><Relationship Id="rId38" Type="http://schemas.openxmlformats.org/officeDocument/2006/relationships/hyperlink" Target="https://doi.org/10.1038/s41524-024-01500-6" TargetMode="External"/><Relationship Id="rId20" Type="http://schemas.openxmlformats.org/officeDocument/2006/relationships/hyperlink" Target="https://doi.org/10.1038/s41524-025-01895-w" TargetMode="External"/><Relationship Id="rId22" Type="http://schemas.openxmlformats.org/officeDocument/2006/relationships/hyperlink" Target="https://doi.org/10.48550/arXiv.2503.04070" TargetMode="External"/><Relationship Id="rId21" Type="http://schemas.openxmlformats.org/officeDocument/2006/relationships/hyperlink" Target="https://doi.org/10.1038/s43588-026-00996-w" TargetMode="External"/><Relationship Id="rId24" Type="http://schemas.openxmlformats.org/officeDocument/2006/relationships/hyperlink" Target="https://doi.org/10.1111/j.2517-6161.1995.tb02031.x" TargetMode="External"/><Relationship Id="rId23" Type="http://schemas.openxmlformats.org/officeDocument/2006/relationships/hyperlink" Target="https://doi.org/10.1088/2632-2153/aca7b1" TargetMode="External"/><Relationship Id="rId26" Type="http://schemas.openxmlformats.org/officeDocument/2006/relationships/hyperlink" Target="https://doi.org/10.1021/acs.jcim.5c01633" TargetMode="External"/><Relationship Id="rId25" Type="http://schemas.openxmlformats.org/officeDocument/2006/relationships/hyperlink" Target="https://www.jmlr.org/papers/v24/22-1176.html" TargetMode="External"/><Relationship Id="rId28" Type="http://schemas.openxmlformats.org/officeDocument/2006/relationships/hyperlink" Target="https://doi.org/10.1038/nmat3066" TargetMode="External"/><Relationship Id="rId27" Type="http://schemas.openxmlformats.org/officeDocument/2006/relationships/hyperlink" Target="https://doi.org/10.1093/biomet/asaf066" TargetMode="External"/><Relationship Id="rId29" Type="http://schemas.openxmlformats.org/officeDocument/2006/relationships/hyperlink" Target="https://doi.org/10.1039/C6EE02697D" TargetMode="External"/><Relationship Id="rId50" Type="http://schemas.openxmlformats.org/officeDocument/2006/relationships/footer" Target="footer1.xml"/><Relationship Id="rId11" Type="http://schemas.openxmlformats.org/officeDocument/2006/relationships/hyperlink" Target="https://doi.org/10.1038/s43588-022-00349-3" TargetMode="External"/><Relationship Id="rId10" Type="http://schemas.openxmlformats.org/officeDocument/2006/relationships/hyperlink" Target="https://doi.org/10.1039/D5EE07336G" TargetMode="External"/><Relationship Id="rId13" Type="http://schemas.openxmlformats.org/officeDocument/2006/relationships/hyperlink" Target="https://doi.org/10.1021/acs.jctc.4c00190" TargetMode="External"/><Relationship Id="rId12" Type="http://schemas.openxmlformats.org/officeDocument/2006/relationships/hyperlink" Target="https://doi.org/10.1038/s42256-023-00716-3" TargetMode="External"/><Relationship Id="rId15" Type="http://schemas.openxmlformats.org/officeDocument/2006/relationships/hyperlink" Target="https://doi.org/10.1038/s41524-025-01571-z" TargetMode="External"/><Relationship Id="rId14" Type="http://schemas.openxmlformats.org/officeDocument/2006/relationships/hyperlink" Target="https://doi.org/10.1063/5.0297006" TargetMode="External"/><Relationship Id="rId17" Type="http://schemas.openxmlformats.org/officeDocument/2006/relationships/hyperlink" Target="https://doi.org/10.1039/D5DD00534E" TargetMode="External"/><Relationship Id="rId16" Type="http://schemas.openxmlformats.org/officeDocument/2006/relationships/hyperlink" Target="https://doi.org/10.1021/acsmaterialslett.5c00336" TargetMode="External"/><Relationship Id="rId19" Type="http://schemas.openxmlformats.org/officeDocument/2006/relationships/hyperlink" Target="https://doi.org/10.1038/s41524-024-01500-6" TargetMode="External"/><Relationship Id="rId18" Type="http://schemas.openxmlformats.org/officeDocument/2006/relationships/hyperlink" Target="https://doi.org/10.1021/acsmaterialslett.6c001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K6MiSUdJ9WPAv96r9FncArCGqg==">CgMxLjA4AHIhMWlQUGdzOFZjS3otRlVJOGxnb01IZ2IyOHZaUnN5SjlL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cp:coreProperties>
</file>