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Softening-Rescaled Transport and Conformal Selection</w:t>
      </w:r>
    </w:p>
    <w:p w:rsidR="00000000" w:rsidDel="00000000" w:rsidP="00000000" w:rsidRDefault="00000000" w:rsidRPr="00000000" w14:paraId="00000002">
      <w:pPr>
        <w:pStyle w:val="Subtitle"/>
        <w:rPr/>
      </w:pPr>
      <w:r w:rsidDel="00000000" w:rsidR="00000000" w:rsidRPr="00000000">
        <w:rPr>
          <w:rtl w:val="0"/>
        </w:rPr>
        <w:t xml:space="preserve">A Research Design for Training-Free Correction and False-Discovery-Controlled Screening of Li-Ion Solid Electrolytes with Foundation Interatomic Potentials</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E3-SSE — Research Design </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8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Resource constraint: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 paid datasets, software licences, cloud or computational services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pre-registration draft; statements about the literature are verified as of the revision date; statements about this project are hypotheses and plans, not results</w:t>
      </w:r>
    </w:p>
    <w:bookmarkStart w:colFirst="0" w:colLast="0" w:name="bookmark=id.4ntnquxtvmbh" w:id="0"/>
    <w:bookmarkEnd w:id="0"/>
    <w:p w:rsidR="00000000" w:rsidDel="00000000" w:rsidP="00000000" w:rsidRDefault="00000000" w:rsidRPr="00000000" w14:paraId="00000006">
      <w:pPr>
        <w:pStyle w:val="Heading1"/>
        <w:rPr/>
      </w:pPr>
      <w:r w:rsidDel="00000000" w:rsidR="00000000" w:rsidRPr="00000000">
        <w:rPr>
          <w:rtl w:val="0"/>
        </w:rPr>
        <w:t xml:space="preserve">Abstract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Universal (foundation) machine-learning interatomic potentials (uMLIPs) make atomistic screening of solid-state electrolytes computationally affordable, but they exhibit a systematic softening of the potential-energy surface (PES) that underestimates Li migration barriers and overestimates Li diffusivity [1, 2]. Current remedies retrain or fine-tune the model on system-specific first-principles data [2–4].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Classical mechanics implies that dynamics on a uniformly scaled potential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sU</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temperature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exactly the dynamics on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temperature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time dilated by </w:t>
      </w:r>
      <m:oMath>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We exploit this identity to derive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Softening-Rescaled Transport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(SRT), a closed-form, training-free correction of barriers, diffusion coefficients and activation energies that requires only a scalar softening scale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estimated from static density-functional-theory (DFT) forces. Because the identity is exact only for uniform softening, the scientific question is empirical: what fraction of real transport error does one measured scalar remove, and for which models and chemistries?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Five linked studies use only open data: (1) a softening atlas across uMLIPs pretrained on near-equilibrium and off-equilibrium data; (2) a fixed-geometry and relaxed-path test of SRT on 1,681 DFT nudged-elastic-band (NEB) Li hops [4]; (3) validation against first-principles molecular dynamics (FPMD) [6]; (4) conformal selection with finite-sample false-discovery-rate (FDR) control [7] using SRT scores; and (5) a prospective demonstration screen.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contribution.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physically grounded, falsifiable, zero-training correction; a quantitative label-budget law for estimating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first (to our knowledge) FDR-controlled shortlist procedure for foundation-potential ionic-conductor screening; and a mechanistic test that links softening to pretraining-data coverage.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solid-state electrolytes; machine-learning interatomic potentials; potential-energy-surface softening; mechanical similarity; ionic diffusion; nudged elastic band; conformal inference; false discovery rate.</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bookmarkStart w:colFirst="0" w:colLast="0" w:name="bookmark=id.potq99itcgfe" w:id="1"/>
    <w:bookmarkEnd w:id="1"/>
    <w:p w:rsidR="00000000" w:rsidDel="00000000" w:rsidP="00000000" w:rsidRDefault="00000000" w:rsidRPr="00000000" w14:paraId="0000000D">
      <w:pPr>
        <w:pStyle w:val="Heading1"/>
        <w:rPr/>
      </w:pPr>
      <w:r w:rsidDel="00000000" w:rsidR="00000000" w:rsidRPr="00000000">
        <w:rPr>
          <w:rtl w:val="0"/>
        </w:rPr>
        <w:t xml:space="preserve">Nomenclature</w:t>
      </w:r>
    </w:p>
    <w:tbl>
      <w:tblPr>
        <w:tblStyle w:val="Table1"/>
        <w:tblW w:w="7919.0" w:type="dxa"/>
        <w:jc w:val="left"/>
        <w:tblInd w:w="-70.0" w:type="dxa"/>
        <w:tblBorders>
          <w:top w:color="000000" w:space="0" w:sz="12" w:val="single"/>
          <w:bottom w:color="000000" w:space="0" w:sz="12" w:val="single"/>
          <w:insideH w:color="bfbfbf" w:space="0" w:sz="4" w:val="single"/>
        </w:tblBorders>
        <w:tblLayout w:type="fixed"/>
        <w:tblLook w:val="0020"/>
      </w:tblPr>
      <w:tblGrid>
        <w:gridCol w:w="1508"/>
        <w:gridCol w:w="5280"/>
        <w:gridCol w:w="1131"/>
        <w:tblGridChange w:id="0">
          <w:tblGrid>
            <w:gridCol w:w="1508"/>
            <w:gridCol w:w="5280"/>
            <w:gridCol w:w="1131"/>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Symbol</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Meaning</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Unit</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r</m:t>
                  </m:r>
                </m:e>
              </m:d>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r</m:t>
                  </m:r>
                </m:e>
              </m:d>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Reference (DFT) and machine-learned potential energy of configuration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r</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Softening scale (uniform-scaling factor),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0&lt;s</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indicates softening</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K</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Estimator of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estimator from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labelled frames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δ</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U</m:t>
              </m:r>
              <m:d>
                <m:dPr>
                  <m:begChr m:val="("/>
                  <m:end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r</m:t>
                  </m:r>
                </m:e>
              </m:d>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Non-uniform residual,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ML</m:t>
                  </m:r>
                </m:sub>
              </m:s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DFT</m:t>
                  </m:r>
                </m:sub>
              </m:s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−const</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i</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Force on atom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i</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 Å</w:t>
            </w:r>
            <w:sdt>
              <w:sdtPr>
                <w:id w:val="1329093125"/>
                <w:tag w:val="goog_rdk_0"/>
              </w:sdtPr>
              <w:sdtContent>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superscript"/>
                    <w:rtl w:val="0"/>
                  </w:rPr>
                  <w:t xml:space="preserve">−1</w:t>
                </w:r>
              </w:sdtContent>
            </w:sdt>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B</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Temperature, Boltzmann constant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K, eV K</w:t>
            </w:r>
            <w:sdt>
              <w:sdtPr>
                <w:id w:val="1756303820"/>
                <w:tag w:val="goog_rdk_1"/>
              </w:sdtPr>
              <w:sdtContent>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superscript"/>
                    <w:rtl w:val="0"/>
                  </w:rPr>
                  <w:t xml:space="preserve">−1</w:t>
                </w:r>
              </w:sdtContent>
            </w:sdt>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τ</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Rescaled time, </w:t>
            </w:r>
            <m:oMath>
              <m:r>
                <m:t>τ</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rad>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 t</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b</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Migration barrier (NEB)</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a</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0</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Arrhenius activation energy and prefactor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 cm</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s</w:t>
            </w:r>
            <w:sdt>
              <w:sdtPr>
                <w:id w:val="-462534997"/>
                <w:tag w:val="goog_rdk_2"/>
              </w:sdtPr>
              <w:sdtContent>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superscript"/>
                    <w:rtl w:val="0"/>
                  </w:rPr>
                  <w:t xml:space="preserve">−1</w:t>
                </w:r>
              </w:sdtContent>
            </w:sdt>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tr</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σ</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Tracer and charge (collective) diffusion coefficients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cm</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s</w:t>
            </w:r>
            <w:sdt>
              <w:sdtPr>
                <w:id w:val="1005477217"/>
                <w:tag w:val="goog_rdk_3"/>
              </w:sdtPr>
              <w:sdtContent>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superscript"/>
                    <w:rtl w:val="0"/>
                  </w:rPr>
                  <w:t xml:space="preserve">−1</w:t>
                </w:r>
              </w:sdtContent>
            </w:sdt>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R</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Haven ratio,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tr</m:t>
                  </m:r>
                </m:sub>
              </m:s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σ</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m:t>σ</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NE</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Nernst–Einstein conductivity estimate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 cm</w:t>
            </w:r>
            <w:sdt>
              <w:sdtPr>
                <w:id w:val="-134009440"/>
                <w:tag w:val="goog_rdk_4"/>
              </w:sdtPr>
              <w:sdtContent>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superscript"/>
                    <w:rtl w:val="0"/>
                  </w:rPr>
                  <w:t xml:space="preserve">−1</w:t>
                </w:r>
              </w:sdtContent>
            </w:sdt>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c</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Barrier threshold defining a “fast” hop</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α</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Nominal FDR level</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j</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Conformal p-value of test unit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j</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m</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Calibration and test sample sizes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bl>
    <w:bookmarkStart w:colFirst="0" w:colLast="0" w:name="bookmark=id.uyuhlkiwli4" w:id="2"/>
    <w:bookmarkEnd w:id="2"/>
    <w:p w:rsidR="00000000" w:rsidDel="00000000" w:rsidP="00000000" w:rsidRDefault="00000000" w:rsidRPr="00000000" w14:paraId="00000041">
      <w:pPr>
        <w:pStyle w:val="Heading1"/>
        <w:rPr/>
      </w:pPr>
      <w:r w:rsidDel="00000000" w:rsidR="00000000" w:rsidRPr="00000000">
        <w:rPr>
          <w:rtl w:val="0"/>
        </w:rPr>
        <w:t xml:space="preserve">1. Introduction</w:t>
      </w:r>
    </w:p>
    <w:bookmarkStart w:colFirst="0" w:colLast="0" w:name="bookmark=id.wijd94xau9mp" w:id="3"/>
    <w:bookmarkEnd w:id="3"/>
    <w:p w:rsidR="00000000" w:rsidDel="00000000" w:rsidP="00000000" w:rsidRDefault="00000000" w:rsidRPr="00000000" w14:paraId="00000042">
      <w:pPr>
        <w:pStyle w:val="Heading2"/>
        <w:rPr/>
      </w:pPr>
      <w:r w:rsidDel="00000000" w:rsidR="00000000" w:rsidRPr="00000000">
        <w:rPr>
          <w:rtl w:val="0"/>
        </w:rPr>
        <w:t xml:space="preserve">1.1 Context and motivation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All-solid-state batteries require inorganic electrolytes that combine fast 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transport with electrochemical and mechanical compatibility [8–10]. Superionic conductors such as 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demonstrated that liquid-like conductivities are attainable in crystalline solids [11], and first-principles calculations have been central to explaining and discovering such materials [12–14]. However, the two standard computational probes of transport — DFT nudged-elastic-band (NEB) barriers [15] and ab initio molecular dynamics (AIMD) — are expensive, which forced high-throughput studies to use approximate models and staged funnels [6, 16, 17].</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Machine-learning interatomic potentials (MLIPs) remove much of this cost [18, 19]. Equivariant architectures such as NequIP and MACE [20, 21] and universal potentials pretrained across the periodic table — M3GNet, CHGNet, SevenNet and MACE-MP-0 [22–25] — now allow nanosecond molecular dynamics on arbitrary Li compounds without system-specific training. Their use for solid electrolytes has been benchmarked systematically [4, 26, 27].</w:t>
      </w:r>
    </w:p>
    <w:bookmarkStart w:colFirst="0" w:colLast="0" w:name="bookmark=id.yavill8wfjk2" w:id="4"/>
    <w:bookmarkEnd w:id="4"/>
    <w:p w:rsidR="00000000" w:rsidDel="00000000" w:rsidP="00000000" w:rsidRDefault="00000000" w:rsidRPr="00000000" w14:paraId="00000045">
      <w:pPr>
        <w:pStyle w:val="Heading2"/>
        <w:rPr/>
      </w:pPr>
      <w:r w:rsidDel="00000000" w:rsidR="00000000" w:rsidRPr="00000000">
        <w:rPr>
          <w:rtl w:val="0"/>
        </w:rPr>
        <w:t xml:space="preserve">1.2 Problem statement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Foundation potentials are not unbiased. Deng et al. showed that M3GNet, CHGNet and MACE-MP-0 systematically under-predict energies and forces in high-energy configurations, including ion-migration barriers, and attributed this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softening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dominance of near-equilibrium structures in pretraining data [1]. For Li electrolytes, a pretrained potential overestimated Li diffusivities in argyrodites, and forgetting-aware fine-tuning corrected both the softening and the diffusivities [2]. Fine-tuning likewise improves DFT-NEB barrier accuracy [4].</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however, requires system-specific DFT data, GPU training, careful protection against catastrophic forgetting [2], and produces a new model per chemistry. Moreover, a screening decision ultimately needs not only a better point estimate but a quantified error rate: how many of the materials shortlisted as fast conductors are in fact slow? Neither question is answered by current practice.</w:t>
      </w:r>
    </w:p>
    <w:bookmarkStart w:colFirst="0" w:colLast="0" w:name="bookmark=id.hwladn6qdmi" w:id="5"/>
    <w:bookmarkEnd w:id="5"/>
    <w:p w:rsidR="00000000" w:rsidDel="00000000" w:rsidP="00000000" w:rsidRDefault="00000000" w:rsidRPr="00000000" w14:paraId="00000048">
      <w:pPr>
        <w:pStyle w:val="Heading2"/>
        <w:rPr/>
      </w:pPr>
      <w:r w:rsidDel="00000000" w:rsidR="00000000" w:rsidRPr="00000000">
        <w:rPr>
          <w:rtl w:val="0"/>
        </w:rPr>
        <w:t xml:space="preserve">1.3 Aim, objectives and contributions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determine whether PES softening in foundation potentials can be removed from Li-transport predictions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without retraining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an exact scaling identity, and whether the corrected predictions support Li-conductor shortlists with finite-sample false-discovery-rate guarantees.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O1 — Quantify the softening scale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representative foundation potentials on Li-electrolyte-relevant DFT data, resolved by model, pretraining dataset, chemistry, element and configurational energy.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O2 — Derive, verify and test the Softening-Rescaled Transport (SRT) correction on open DFT-NEB barriers.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O3 — Test whether SRT transfers from static barriers to finite-temperature diffusion and activation energies against FPMD.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O4 — Establish how many DFT single-point labels are required to estimate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a given downstream accuracy.</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O5 — Construct and validate an FDR-controlled selection procedure for fast Li hops and demonstrate it prospectively on an open candidate pool.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Claimed contributions (C1–C5)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listed in Table 1 together with the corresponding non-claims, which delimit the novelty boundary.</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1. Contributions and novelty boundary.</w:t>
      </w:r>
    </w:p>
    <w:tbl>
      <w:tblPr>
        <w:tblStyle w:val="Table2"/>
        <w:tblW w:w="7918.000000000001" w:type="dxa"/>
        <w:jc w:val="left"/>
        <w:tblInd w:w="-70.0" w:type="dxa"/>
        <w:tblBorders>
          <w:top w:color="000000" w:space="0" w:sz="12" w:val="single"/>
          <w:bottom w:color="000000" w:space="0" w:sz="12" w:val="single"/>
          <w:insideH w:color="bfbfbf" w:space="0" w:sz="4" w:val="single"/>
        </w:tblBorders>
        <w:tblLayout w:type="fixed"/>
        <w:tblLook w:val="0020"/>
      </w:tblPr>
      <w:tblGrid>
        <w:gridCol w:w="642"/>
        <w:gridCol w:w="2354"/>
        <w:gridCol w:w="2996"/>
        <w:gridCol w:w="1926"/>
        <w:tblGridChange w:id="0">
          <w:tblGrid>
            <w:gridCol w:w="642"/>
            <w:gridCol w:w="2354"/>
            <w:gridCol w:w="2996"/>
            <w:gridCol w:w="1926"/>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ID</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Contribution</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Basis of novelty (literature checked to 15 Sep 2026)</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Explicit non-claim</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C1</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SRT: closed-form correction of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b</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m:t>
              </m:r>
              <m:d>
                <m:dPr>
                  <m:begChr m:val="("/>
                  <m:end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T</m:t>
                  </m:r>
                </m:e>
              </m:d>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a</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via the scaling identity</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Softening is documented and corrected by fine-tuning [1, 2]; no report found that maps the softening scale onto an analytic temperature–time rescaling of transport observables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identity itself (mechanical similarity) is classical [5]</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C2</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Label-budget law for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K</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Extends the observation that very few high-energy labels suffice for correction [3] into a quantitative estimator with confidence intervals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a fine-tuning method</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C3</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Conformal selection with FDR control for fast-conductor screening</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Conformal selection exists [7] and has been applied to compound screening [28]; no application to MLIP-based ionic-conductor screening found</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 new conformal theory</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Dose–response and mechanistic test linking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to pretraining-data coverage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Converts a correlation into a falsifiable prediction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C5</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Open benchmark, code and decision log</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Built entirely on free data and software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6A">
      <w:pPr>
        <w:pStyle w:val="Heading2"/>
        <w:rPr/>
      </w:pPr>
      <w:r w:rsidDel="00000000" w:rsidR="00000000" w:rsidRPr="00000000">
        <w:rPr>
          <w:rtl w:val="0"/>
        </w:rPr>
        <w:t xml:space="preserve">1.4 Scope and non-goals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is restricted to Li-ion conduction in crystalline inorganic compounds, classical nuclear dynamics, and vacancy-mediated hops or bulk MD at fixed cell. Long-range electrostatics and charge equilibration [29], Na-ion chemistries, grain boundaries, interfaces and experimental conductivity prediction are out of scope and are treated as future work (Section 12).</w:t>
      </w:r>
    </w:p>
    <w:p w:rsidR="00000000" w:rsidDel="00000000" w:rsidP="00000000" w:rsidRDefault="00000000" w:rsidRPr="00000000" w14:paraId="0000006C">
      <w:pPr>
        <w:pStyle w:val="Heading1"/>
        <w:rPr/>
      </w:pPr>
      <w:r w:rsidDel="00000000" w:rsidR="00000000" w:rsidRPr="00000000">
        <w:rPr>
          <w:rtl w:val="0"/>
        </w:rPr>
        <w:t xml:space="preserve">2. Literature Review</w:t>
      </w:r>
    </w:p>
    <w:bookmarkStart w:colFirst="0" w:colLast="0" w:name="bookmark=id.o9dggsmbpu57" w:id="6"/>
    <w:bookmarkEnd w:id="6"/>
    <w:p w:rsidR="00000000" w:rsidDel="00000000" w:rsidP="00000000" w:rsidRDefault="00000000" w:rsidRPr="00000000" w14:paraId="0000006D">
      <w:pPr>
        <w:pStyle w:val="Heading2"/>
        <w:rPr/>
      </w:pPr>
      <w:r w:rsidDel="00000000" w:rsidR="00000000" w:rsidRPr="00000000">
        <w:rPr>
          <w:rtl w:val="0"/>
        </w:rPr>
        <w:t xml:space="preserve">2.1 Transport in solid electrolytes and its first-principles description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Macroscopic 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conductivity in a crystal arises from thermally activated hops on a percolating network of sites, modified by carrier concentration, correlation and lattice dynamics [9, 10]. Two first-principles descriptions dominate. Static NEB calculations [15] give the minimum-energy path and barrier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individual hops; they neglect vibrational and correlated effects, and DFT-NEB barriers can deviate from experiment by 0.1–0.3 eV depending on lattice dynamics and exchange–correlation functional [30, 31]. AIMD samples finite-temperature dynamics directly, revealing concerted migration in superionic conductors [13], but its short trajectories and small cells produce large statistical uncertainty in diffusion coefficients [32] and finite-size effects [33]. High-throughput efforts therefore combine cheap descriptors or surrogate potentials with a small set of expensive calculations: Sendek et al. screened more than 12,000 candidates with data-driven models [16]; Kahle, Marcolongo and Marzari introduced the frozen-host pinball model and reserved FPMD for about 130 promising structures, extensively simulating 78 of them [6, 17]; a 2026 follow-up extends this approach to a much larger pool of experimental structures [34].</w:t>
      </w:r>
    </w:p>
    <w:bookmarkStart w:colFirst="0" w:colLast="0" w:name="bookmark=id.tnct7pmuj92b" w:id="7"/>
    <w:bookmarkEnd w:id="7"/>
    <w:p w:rsidR="00000000" w:rsidDel="00000000" w:rsidP="00000000" w:rsidRDefault="00000000" w:rsidRPr="00000000" w14:paraId="0000006F">
      <w:pPr>
        <w:pStyle w:val="Heading2"/>
        <w:rPr/>
      </w:pPr>
      <w:r w:rsidDel="00000000" w:rsidR="00000000" w:rsidRPr="00000000">
        <w:rPr>
          <w:rtl w:val="0"/>
        </w:rPr>
        <w:t xml:space="preserve">2.2 From system-specific MLIPs to foundation potentials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Neural-network potentials [18] and their successors [19] learn the Born–Oppenheimer PES from DFT. E(3)-equivariant message passing improved data efficiency and accuracy [20, 21]. Foundation potentials trained on the Materials Project trajectory data (MPtrj) — M3GNet [22], CHGNet [23], SevenNet [24] and MACE-MP-0 [25] — have been evaluated as stability filters [35]. Two newer datasets deliberately sample off-equilibrium configurations: OMat24 [36] and MatPES, which draws about 400,000 structures from molecular dynamics snapshots [37]. This spread of pretraining distributions is exploited in Study 1 as a natural experiment.</w:t>
      </w:r>
    </w:p>
    <w:bookmarkStart w:colFirst="0" w:colLast="0" w:name="bookmark=id.y6qtv16djmjj" w:id="8"/>
    <w:bookmarkEnd w:id="8"/>
    <w:p w:rsidR="00000000" w:rsidDel="00000000" w:rsidP="00000000" w:rsidRDefault="00000000" w:rsidRPr="00000000" w14:paraId="00000071">
      <w:pPr>
        <w:pStyle w:val="Heading2"/>
        <w:rPr/>
      </w:pPr>
      <w:r w:rsidDel="00000000" w:rsidR="00000000" w:rsidRPr="00000000">
        <w:rPr>
          <w:rtl w:val="0"/>
        </w:rPr>
        <w:t xml:space="preserve">2.3 Foundation potentials for Li-ion transport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et al. benchmarked twelve uMLIPs on solid-electrolyte properties including Li diffusivity [26]. The LiTraj benchmark introduced 1,681 DFT-NEB Li-vacancy hops for 876 structures (nebDFT2k), together with BVSE-level percolation and migration barriers and a large set of DFT frames from NEB optimisations (MPLiTrj) [4]. It reported barrier mean absolute errors of 0.07–0.08 eV for SevenNet and MACE on transition-metal-free systems, much larger errors with transition metals, and pronounced barrier underestimation by CHGNet and M3GNet [4]. Importantly for the present design, LiTraj used non-spin-polarised PBE without Hubbard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whereas MPtrj-trained models were fitted to PBE(+U) data; the authors attribute the poor force correlation on transition-metal systems to this reference mismatch [4]. Bheemaguli et al. benchmarked five foundation potentials for migration barriers and classified good and poor conductors at a 500 meV threshold [27]. Kim et al. showed that replay plus elastic-weight-consolidation fine-tuning resolves softening and overestimated Li diffusivity across argyrodite and non-argyrodite electrolytes [2]. Xie et al. combined bond-valence methods with machine learning for Li-electrolyte screening [38].</w:t>
      </w:r>
    </w:p>
    <w:bookmarkStart w:colFirst="0" w:colLast="0" w:name="bookmark=id.oeta32gr4k48" w:id="9"/>
    <w:bookmarkEnd w:id="9"/>
    <w:p w:rsidR="00000000" w:rsidDel="00000000" w:rsidP="00000000" w:rsidRDefault="00000000" w:rsidRPr="00000000" w14:paraId="00000073">
      <w:pPr>
        <w:pStyle w:val="Heading2"/>
        <w:rPr/>
      </w:pPr>
      <w:r w:rsidDel="00000000" w:rsidR="00000000" w:rsidRPr="00000000">
        <w:rPr>
          <w:rtl w:val="0"/>
        </w:rPr>
        <w:t xml:space="preserve">2.4 Systematic PES softening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 et al. defined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softening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slope of predicted versus DFT forces in a material, found it below unity for most of 1,000 sampled compounds, and demonstrated that fine-tuning on very few high-energy structures largely removes it [1, 3]. LiTraj observed that fine-tuning only on near-equilibrium endpoint relaxations re-introduces softening, consistent with this mechanism [4]. Independent molecular-dynamics benchmarks report underestimated bulk moduli and overestimated thermal expansion across foundation potentials, which the authors also interpret as softening [39]. Section 3 shows that </w:t>
      </w:r>
      <w:r w:rsidDel="00000000" w:rsidR="00000000" w:rsidRPr="00000000">
        <w:rPr>
          <w:rtl w:val="0"/>
        </w:rPr>
        <w:t xml:space="preserve">uniform scaling quantitatively predicts both signatures, providing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independent consistency check.</w:t>
      </w:r>
    </w:p>
    <w:bookmarkStart w:colFirst="0" w:colLast="0" w:name="bookmark=id.mtd8wj46eqd1" w:id="10"/>
    <w:bookmarkEnd w:id="10"/>
    <w:p w:rsidR="00000000" w:rsidDel="00000000" w:rsidP="00000000" w:rsidRDefault="00000000" w:rsidRPr="00000000" w14:paraId="00000075">
      <w:pPr>
        <w:pStyle w:val="Heading2"/>
        <w:rPr/>
      </w:pPr>
      <w:r w:rsidDel="00000000" w:rsidR="00000000" w:rsidRPr="00000000">
        <w:rPr>
          <w:rtl w:val="0"/>
        </w:rPr>
        <w:t xml:space="preserve">2.5 Potential scaling, temperature and mechanical similarity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a potential multiplied by a constant produces geometrically similar trajectories on a rescaled clock is the classical principle of mechanical similarity [5]; its thermodynamic counterpart underlies the law of corresponding states [40, 41]. The equivalence between scaling a Hamiltonian and changing temperature is exploited routinely in enhanced sampling, for example replica exchange with solute tempering and scaling [42, 43]. In harmonic transition-state theory the attempt frequency is a ratio of normal-mode frequency products [44], which scales predictably under potential scaling. We found no work that uses this identity to correct systematic softening of machine-learned potentials; the contribution here is the application, the estimator, and its empirical test.</w:t>
      </w:r>
    </w:p>
    <w:bookmarkStart w:colFirst="0" w:colLast="0" w:name="bookmark=id.byhbhc2e2x3e" w:id="11"/>
    <w:bookmarkEnd w:id="11"/>
    <w:p w:rsidR="00000000" w:rsidDel="00000000" w:rsidP="00000000" w:rsidRDefault="00000000" w:rsidRPr="00000000" w14:paraId="00000077">
      <w:pPr>
        <w:pStyle w:val="Heading2"/>
        <w:rPr/>
      </w:pPr>
      <w:r w:rsidDel="00000000" w:rsidR="00000000" w:rsidRPr="00000000">
        <w:rPr>
          <w:rtl w:val="0"/>
        </w:rPr>
        <w:t xml:space="preserve">2.6 Uncertainty quantification and conformal inference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MLIP uncertainty is commonly estimated with ensembles or committees [45–47]; such estimates are not guaranteed to be calibrated. Conformal prediction provides distribution-free, finite-sample coverage under exchangeability [48, 49] and has been applied to MLIP force uncertainty [50]. It extends to covariate shift through weighting [51] and to multiple testing through conformal p-values [52]. Conformal selection [7] combines conformal p-values with the Benjamini–Hochberg procedure [53] to select test units whose unobserved outcome exceeds a threshold while controlling the FDR; a weighted variant addresses covariate shift [54]. Bai et al. applied conformal selection to compound screening in drug discovery [28].</w:t>
      </w:r>
    </w:p>
    <w:bookmarkStart w:colFirst="0" w:colLast="0" w:name="bookmark=id.bkt3lqyk5thp" w:id="12"/>
    <w:bookmarkEnd w:id="12"/>
    <w:p w:rsidR="00000000" w:rsidDel="00000000" w:rsidP="00000000" w:rsidRDefault="00000000" w:rsidRPr="00000000" w14:paraId="00000079">
      <w:pPr>
        <w:pStyle w:val="Heading2"/>
        <w:rPr/>
      </w:pPr>
      <w:r w:rsidDel="00000000" w:rsidR="00000000" w:rsidRPr="00000000">
        <w:rPr>
          <w:rtl w:val="0"/>
        </w:rPr>
        <w:t xml:space="preserve">2.7 Estimating diffusion from simulation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Tracer diffusion is obtained from the long-time slope of the mean-squared displacement (MSD) [55, 56]. Ordinary least squares on correlated MSD points underestimates uncertainty; McCluskey, Coles and Morgan introduced an approximate Bayesian regression with an analytical covariance model, implemented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[57]. Conductivity relates to collective rather than tracer diffusion through the Haven ratio [58].</w:t>
      </w:r>
    </w:p>
    <w:bookmarkStart w:colFirst="0" w:colLast="0" w:name="bookmark=id.9k61vg5ymaon" w:id="13"/>
    <w:bookmarkEnd w:id="13"/>
    <w:p w:rsidR="00000000" w:rsidDel="00000000" w:rsidP="00000000" w:rsidRDefault="00000000" w:rsidRPr="00000000" w14:paraId="0000007B">
      <w:pPr>
        <w:pStyle w:val="Heading2"/>
        <w:rPr/>
      </w:pPr>
      <w:r w:rsidDel="00000000" w:rsidR="00000000" w:rsidRPr="00000000">
        <w:rPr>
          <w:rtl w:val="0"/>
        </w:rPr>
        <w:t xml:space="preserve">2.8 Synthesis and research gaps</w:t>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2. Evidence map and gaps addressed.</w:t>
      </w:r>
    </w:p>
    <w:tbl>
      <w:tblPr>
        <w:tblStyle w:val="Table3"/>
        <w:tblW w:w="7919.000000000001" w:type="dxa"/>
        <w:jc w:val="left"/>
        <w:tblInd w:w="-70.0" w:type="dxa"/>
        <w:tblBorders>
          <w:top w:color="000000" w:space="0" w:sz="12" w:val="single"/>
          <w:bottom w:color="000000" w:space="0" w:sz="12" w:val="single"/>
          <w:insideH w:color="bfbfbf" w:space="0" w:sz="4" w:val="single"/>
        </w:tblBorders>
        <w:tblLayout w:type="fixed"/>
        <w:tblLook w:val="0020"/>
      </w:tblPr>
      <w:tblGrid>
        <w:gridCol w:w="1630"/>
        <w:gridCol w:w="3028"/>
        <w:gridCol w:w="3261"/>
        <w:tblGridChange w:id="0">
          <w:tblGrid>
            <w:gridCol w:w="1630"/>
            <w:gridCol w:w="3028"/>
            <w:gridCol w:w="3261"/>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Theme</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Established</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Gap addressed here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uMLIP accuracy for SSEs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Broad benchmarks [4, 26, 27]</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(not re-benchmarked)</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Softening</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Documented; fixed by fine-tuning [1, 2]</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G1: training-free, physically exact correction of transport observables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Cost of correction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“Few data points suffice” [3]</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G2: quantitative label budget with confidence intervals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Mechanism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Attributed to pretraining bias [1]</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G3: dose–response test across pretraining datasets [36, 37]</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Decision reliability</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Ensembles; conformal force intervals [46, 50]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G4: finite-sample FDR control of screening shortlists [7]</w:t>
            </w:r>
            <w:r w:rsidDel="00000000" w:rsidR="00000000" w:rsidRPr="00000000">
              <w:rPr>
                <w:rtl w:val="0"/>
              </w:rPr>
            </w:r>
          </w:p>
        </w:tc>
      </w:tr>
    </w:tbl>
    <w:bookmarkStart w:colFirst="0" w:colLast="0" w:name="bookmark=id.mkmcvyvq5yu3" w:id="14"/>
    <w:bookmarkEnd w:id="14"/>
    <w:p w:rsidR="00000000" w:rsidDel="00000000" w:rsidP="00000000" w:rsidRDefault="00000000" w:rsidRPr="00000000" w14:paraId="0000008F">
      <w:pPr>
        <w:pStyle w:val="Heading1"/>
        <w:rPr/>
      </w:pPr>
      <w:r w:rsidDel="00000000" w:rsidR="00000000" w:rsidRPr="00000000">
        <w:rPr>
          <w:rtl w:val="0"/>
        </w:rPr>
        <w:t xml:space="preserve">3. Theoretical Framework</w:t>
      </w:r>
    </w:p>
    <w:bookmarkStart w:colFirst="0" w:colLast="0" w:name="bookmark=id.omombniyub5h" w:id="15"/>
    <w:bookmarkEnd w:id="15"/>
    <w:p w:rsidR="00000000" w:rsidDel="00000000" w:rsidP="00000000" w:rsidRDefault="00000000" w:rsidRPr="00000000" w14:paraId="00000090">
      <w:pPr>
        <w:pStyle w:val="Heading2"/>
        <w:rPr/>
      </w:pPr>
      <w:r w:rsidDel="00000000" w:rsidR="00000000" w:rsidRPr="00000000">
        <w:rPr>
          <w:rtl w:val="0"/>
        </w:rPr>
        <w:t xml:space="preserve">3.1 Uniform softening model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1 (uniform softening).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potential is uniformly softened with scale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s&gt;0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relative to a reference if, for all configurations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domain of interest,</w:t>
      </w:r>
    </w:p>
    <w:p w:rsidR="00000000" w:rsidDel="00000000" w:rsidP="00000000" w:rsidRDefault="00000000" w:rsidRPr="00000000" w14:paraId="00000092">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+const.    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e>
        </m:d>
      </m:oMath>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Consequently </w:t>
      </w:r>
      <m:oMath>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p>
        </m:sSub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every atom, stationary points (minima and saddles) coincide, and the Hessian scales as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additive constant is irrelevant to all results below. In reality Eq. (1) holds only approximately; Section 3.5 generalises it.</w:t>
      </w:r>
    </w:p>
    <w:bookmarkStart w:colFirst="0" w:colLast="0" w:name="bookmark=id.bhjfdylco5kh" w:id="16"/>
    <w:bookmarkEnd w:id="16"/>
    <w:p w:rsidR="00000000" w:rsidDel="00000000" w:rsidP="00000000" w:rsidRDefault="00000000" w:rsidRPr="00000000" w14:paraId="00000094">
      <w:pPr>
        <w:pStyle w:val="Heading2"/>
        <w:rPr/>
      </w:pPr>
      <w:r w:rsidDel="00000000" w:rsidR="00000000" w:rsidRPr="00000000">
        <w:rPr>
          <w:rtl w:val="0"/>
        </w:rPr>
        <w:t xml:space="preserve">3.2 Dynamical equivalence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Proposition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solve Newton’s equations on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satisfying Eq. (1). Then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acc>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solves Newton’s equations on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canonical trajectory at temperature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acc>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canonical trajectory at temperature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Newton’s equations on the softened potential read</w:t>
      </w:r>
    </w:p>
    <w:p w:rsidR="00000000" w:rsidDel="00000000" w:rsidP="00000000" w:rsidRDefault="00000000" w:rsidRPr="00000000" w14:paraId="00000097">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e>
        </m:d>
      </m:oMath>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m:oMath>
        <m:r>
          <m:t>τ</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w:t>
      </w:r>
    </w:p>
    <w:p w:rsidR="00000000" w:rsidDel="00000000" w:rsidP="00000000" w:rsidRDefault="00000000" w:rsidRPr="00000000" w14:paraId="00000099">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acc>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e>
        </m:d>
      </m:oMath>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Velocities transform as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d</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kinetic energies are divided by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Maxwell–Boltzmann distribution at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maps onto that at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configurational Boltzmann factor maps identically,</w:t>
      </w:r>
    </w:p>
    <w:p w:rsidR="00000000" w:rsidDel="00000000" w:rsidP="00000000" w:rsidRDefault="00000000" w:rsidRPr="00000000" w14:paraId="0000009B">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exp​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d>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en>
            </m:f>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=exp​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d>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T/s</m:t>
                    </m:r>
                  </m:e>
                </m:d>
              </m:den>
            </m:f>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e>
        </m:d>
      </m:oMath>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the phase-space density is canonical at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Q.E.D.</w:t>
      </w:r>
    </w:p>
    <w:bookmarkStart w:colFirst="0" w:colLast="0" w:name="bookmark=id.bue65cqifhfn" w:id="17"/>
    <w:bookmarkEnd w:id="17"/>
    <w:p w:rsidR="00000000" w:rsidDel="00000000" w:rsidP="00000000" w:rsidRDefault="00000000" w:rsidRPr="00000000" w14:paraId="0000009D">
      <w:pPr>
        <w:pStyle w:val="Heading2"/>
        <w:rPr/>
      </w:pPr>
      <w:r w:rsidDel="00000000" w:rsidR="00000000" w:rsidRPr="00000000">
        <w:rPr>
          <w:rtl w:val="0"/>
        </w:rPr>
        <w:t xml:space="preserve">3.3 Corollaries and testable signatures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Static averages.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any configurational observable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F">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T/s</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5</m:t>
            </m:r>
          </m:e>
        </m:d>
      </m:oMath>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Pressure and ensembles.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virial pressure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P=N</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T/V−⟨</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transforms as</w:t>
      </w:r>
    </w:p>
    <w:p w:rsidR="00000000" w:rsidDel="00000000" w:rsidP="00000000" w:rsidRDefault="00000000" w:rsidRPr="00000000" w14:paraId="000000A1">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V,T/s</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e>
        </m:d>
      </m:oMath>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Hence fixed-cell NVT and zero-pressure NPT are invariant; NPT at finite pressure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maps to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Thermostats.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Weak-coupling or Nosé–Hoover-type thermostats [59–61] preserve the canonical distribution but their time constants are measured in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they transform by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τ</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Langevin dynamics with friction </w:t>
      </w:r>
      <m:oMath>
        <m:r>
          <m:t>γ</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mapping is exact with </w:t>
      </w:r>
      <m:oMath>
        <m:r>
          <m:t>γ</m:t>
        </m:r>
        <m:r>
          <m:t>→</m:t>
        </m:r>
        <m: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(Appendix A). Because friction alters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production runs use weak coupling and the identity is verified numerically (Study 3).</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Diffusion.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Displacements are invariant while time is dilated, so</w:t>
      </w:r>
    </w:p>
    <w:p w:rsidR="00000000" w:rsidDel="00000000" w:rsidP="00000000" w:rsidRDefault="00000000" w:rsidRPr="00000000" w14:paraId="000000A5">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MSD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MSD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t; T/s</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T/s</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7</m:t>
            </m:r>
          </m:e>
        </m:d>
      </m:oMath>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relation holds for the collective diffusion coefficient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σ</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the Haven ratio satisfies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T/s</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Arrhenius parameters.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exp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w:t>
      </w:r>
    </w:p>
    <w:p w:rsidR="00000000" w:rsidDel="00000000" w:rsidP="00000000" w:rsidRDefault="00000000" w:rsidRPr="00000000" w14:paraId="000000A8">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exp​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en>
            </m:f>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8</m:t>
            </m:r>
          </m:e>
        </m:d>
      </m:oMath>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exact statement is Eq. (7); Eq. (8) additionally assumes Arrhenius behaviour, which is itself tested.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Consistency with transition-state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harmonic transition-state theory [44] the hop rate is </w:t>
      </w:r>
      <m:oMath>
        <m: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ν</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exp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w:t>
      </w:r>
    </w:p>
    <w:p w:rsidR="00000000" w:rsidDel="00000000" w:rsidP="00000000" w:rsidRDefault="00000000" w:rsidRPr="00000000" w14:paraId="000000AB">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acc>
          <m:accPr>
            <m:chr m:val="̃"/>
          </m:accPr>
          <m:e>
            <m:r>
              <m:t>ν</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3N</m:t>
                </m:r>
              </m:sup>
            </m:nary>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ν</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num>
          <m:den>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3N−1</m:t>
                </m:r>
              </m:sup>
            </m:nary>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ν</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up>
            </m:sSubSup>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9</m:t>
            </m:r>
          </m:e>
        </m:d>
      </m:oMath>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all frequencies scale as </w:t>
      </w:r>
      <m:oMath>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accPr>
              <m:e>
                <m:r>
                  <m:t>ν</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ν</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reproducing Eq. (8) independently.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Barriers and paths.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Minimum-energy paths are invariant under Eq. (1), and</w:t>
      </w:r>
    </w:p>
    <w:p w:rsidR="00000000" w:rsidDel="00000000" w:rsidP="00000000" w:rsidRDefault="00000000" w:rsidRPr="00000000" w14:paraId="000000AE">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b,DFT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e>
        </m:d>
      </m:oMath>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Signatures in other observables.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Uniform softening predicts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ω</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ω</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harmonic frequencies,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static bulk modulus, a zero-pressure volume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T/s</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thus thermal expansion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α</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p>
        </m:sSup>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α</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T/s</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transition or melting temperatures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c,DFT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first three agree in sign with the underestimated moduli and overestimated thermal expansion reported for foundation potentials [39]. The last implies that an ML simulation nominally at 1,000 K 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s=0.8</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DFT at 1,250 K, so structural integrity must be monitored.</w:t>
      </w:r>
    </w:p>
    <w:bookmarkStart w:colFirst="0" w:colLast="0" w:name="bookmark=id.n92ztgfz1kgd" w:id="18"/>
    <w:bookmarkEnd w:id="18"/>
    <w:p w:rsidR="00000000" w:rsidDel="00000000" w:rsidP="00000000" w:rsidRDefault="00000000" w:rsidRPr="00000000" w14:paraId="000000B0">
      <w:pPr>
        <w:pStyle w:val="Heading2"/>
        <w:rPr/>
      </w:pPr>
      <w:r w:rsidDel="00000000" w:rsidR="00000000" w:rsidRPr="00000000">
        <w:rPr>
          <w:rtl w:val="0"/>
        </w:rPr>
        <w:t xml:space="preserve">3.4 The Softening-Rescaled Transport (SRT) estimators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SRT estimators of reference-level quantities are</w:t>
      </w:r>
    </w:p>
    <w:p w:rsidR="00000000" w:rsidDel="00000000" w:rsidP="00000000" w:rsidRDefault="00000000" w:rsidRPr="00000000" w14:paraId="000000B2">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Sub>
          </m:num>
          <m:den>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a,ML</m:t>
                </m:r>
              </m:sub>
            </m:sSub>
          </m:num>
          <m:den>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acc>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T</m:t>
                </m:r>
              </m:e>
            </m:d>
          </m:num>
          <m:den>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e>
            </m:rad>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σ</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NE</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q</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acc>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11</m:t>
            </m:r>
          </m:e>
        </m:d>
      </m:oMath>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each ML simulation at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sim</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relabelled as a reference-level estimate at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sim</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divided by </w:t>
      </w:r>
      <m:oMath>
        <m:rad>
          <m:radPr>
            <m:degHide m:val="1"/>
          </m:rad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Weighted least squares on the relabelled points,</w:t>
      </w:r>
    </w:p>
    <w:p w:rsidR="00000000" w:rsidDel="00000000" w:rsidP="00000000" w:rsidRDefault="00000000" w:rsidRPr="00000000" w14:paraId="000000B4">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ln</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=ln</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Var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ln</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e>
            </m:d>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12</m:t>
            </m:r>
          </m:e>
        </m:d>
      </m:oMath>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ln</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=ln</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ln</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exactly. The Nernst–Einstein estimate neglects ion–ion correlations; the conductivity is </w:t>
      </w:r>
      <m:oMath>
        <m:r>
          <m:t>σ</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σ</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NE</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[58], and this distinction is maintained throughout.</w:t>
      </w:r>
    </w:p>
    <w:bookmarkStart w:colFirst="0" w:colLast="0" w:name="bookmark=id.8pl226fhcfkr" w:id="19"/>
    <w:bookmarkEnd w:id="19"/>
    <w:p w:rsidR="00000000" w:rsidDel="00000000" w:rsidP="00000000" w:rsidRDefault="00000000" w:rsidRPr="00000000" w14:paraId="000000B6">
      <w:pPr>
        <w:pStyle w:val="Heading2"/>
        <w:rPr/>
      </w:pPr>
      <w:r w:rsidDel="00000000" w:rsidR="00000000" w:rsidRPr="00000000">
        <w:rPr>
          <w:rtl w:val="0"/>
        </w:rPr>
        <w:t xml:space="preserve">3.5 Beyond uniform softening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general model error as</w:t>
      </w:r>
    </w:p>
    <w:p w:rsidR="00000000" w:rsidDel="00000000" w:rsidP="00000000" w:rsidRDefault="00000000" w:rsidRPr="00000000" w14:paraId="000000B8">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+const,    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13</m:t>
            </m:r>
          </m:e>
        </m:d>
      </m:oMath>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defined by the force-parity projection of Section 3.6 and </w:t>
      </w:r>
      <m:oMath>
        <m: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non-uniform residual. Evaluating ML energies on the DFT stationary geometries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fixed-geometry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barrier</w:t>
      </w:r>
    </w:p>
    <w:p w:rsidR="00000000" w:rsidDel="00000000" w:rsidP="00000000" w:rsidRDefault="00000000" w:rsidRPr="00000000" w14:paraId="000000BA">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fix</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b,DFT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nu</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nu</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up>
            </m:sSup>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14</m:t>
            </m:r>
          </m:e>
        </m:d>
      </m:oMath>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Proposition 2 (first-order equivalence of fixed-geometry and relaxed barriers).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let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the corresponding minimum and first-order saddle, assumed non-degenerate. Then</w:t>
      </w:r>
    </w:p>
    <w:p w:rsidR="00000000" w:rsidDel="00000000" w:rsidP="00000000" w:rsidRDefault="00000000" w:rsidRPr="00000000" w14:paraId="000000BC">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relax</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fix</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15</m:t>
            </m:r>
          </m:e>
        </m:d>
      </m:oMath>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Stationary points of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coincide with those of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any stationary point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den>
        </m:f>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st</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e>
            </m:d>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st</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st</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st</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w:t>
      </w:r>
      <m:oMath>
        <m: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ϵ</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(envelope theorem). Expanding both stationary energies to first order in </w:t>
      </w:r>
      <m:oMath>
        <m:r>
          <m:t>ϵ</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reproduces Eq. (14). Q.E.D.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Proposition 2 justifies the fixed-geometry test (Study 2a) as a first-order proxy for ML-NEB barriers, isolates PES error from path-finding error, and implies that the SRT-explained fraction of barrier error is</w:t>
      </w:r>
    </w:p>
    <w:p w:rsidR="00000000" w:rsidDel="00000000" w:rsidP="00000000" w:rsidRDefault="00000000" w:rsidRPr="00000000" w14:paraId="000000BF">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ρ</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SRT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fix</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b,DFT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e>
            </m:d>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fix</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b,DFT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e>
            </m:d>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16</m:t>
            </m:r>
          </m:e>
        </m:d>
      </m:oMath>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the NEB endpoints in the reference data are relaxed only to a residual force of 0.1 eV Å</w:t>
      </w:r>
      <w:sdt>
        <w:sdtPr>
          <w:id w:val="-1559145163"/>
          <w:tag w:val="goog_rdk_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superscript"/>
              <w:rtl w:val="0"/>
            </w:rPr>
            <w:t xml:space="preserve">−1</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Proposition 2 holds approximately; the size of the discrepancy between Stage 2a and Stage 2b is reported. An element-resolved generalisation assigns scales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 species; if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host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identity is no longer exact and the magnitude of </w:t>
      </w:r>
      <m:oMath>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host</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used as a diagnostic of expected SRT failure.</w:t>
      </w:r>
    </w:p>
    <w:bookmarkStart w:colFirst="0" w:colLast="0" w:name="bookmark=id.37u434rzacd2" w:id="20"/>
    <w:bookmarkEnd w:id="20"/>
    <w:p w:rsidR="00000000" w:rsidDel="00000000" w:rsidP="00000000" w:rsidRDefault="00000000" w:rsidRPr="00000000" w14:paraId="000000C1">
      <w:pPr>
        <w:pStyle w:val="Heading2"/>
        <w:rPr/>
      </w:pPr>
      <w:r w:rsidDel="00000000" w:rsidR="00000000" w:rsidRPr="00000000">
        <w:rPr>
          <w:rtl w:val="0"/>
        </w:rPr>
        <w:t xml:space="preserve">3.6 Estimating the softening scale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 set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DFT-labelled frames with Cartesian force components </w:t>
      </w:r>
      <m:oMath>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p>
        </m:sSub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model predictions </w:t>
      </w:r>
      <m:oMath>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p>
        </m:sSub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assume </w:t>
      </w:r>
      <m:oMath>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 </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ε</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ε</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p>
            </m:sSubSup>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zero-intercept least-squares estimator is</w:t>
      </w:r>
    </w:p>
    <w:p w:rsidR="00000000" w:rsidDel="00000000" w:rsidP="00000000" w:rsidRDefault="00000000" w:rsidRPr="00000000" w14:paraId="000000C3">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ub>
              <m:sup/>
            </m:nary>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p>
            </m:sSubSup>
          </m:num>
          <m:den>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sub>
              <m:sup/>
            </m:nary>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DFT</m:t>
                        </m:r>
                      </m:sup>
                    </m:sSubSup>
                  </m:e>
                </m:d>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17</m:t>
            </m:r>
          </m:e>
        </m:d>
      </m:oMath>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slope-based definition of the softening scale used in prior work [1, 2]. Force components within a frame are correlated, so standard errors are obtained by a cluster bootstrap that resamples whole frames [62]. Noise </w:t>
      </w:r>
      <m:oMath>
        <m:r>
          <m:t>η</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DFT forces attenuates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the factor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d>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σ</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η</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bSup>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negligible when </w:t>
      </w:r>
      <m:oMath>
        <m:sSub>
          <m:e>
            <m:r>
              <m:t>σ</m:t>
            </m:r>
          </m:e>
          <m:sub>
            <m:r>
              <m:t>η</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small relative to typical high-temperature forces; frames with near-zero forces carry little information about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are down-weighted by Eq. (17) automatically. Estimates are computed at four levels: global per model, chemical family, material, and element-resolved.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Leakage rule.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correct a barrier must be estimated from frames that were not generated during the NEB optimisation of that hop (admissible sources are endpoint-relaxation frames and frames belonging to other hops of the same structure). Estimates from the hop’s own path frames are reported only as an oracle upper bound.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Label budget.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 drawn at random,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Var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estimated by repeated subsampling for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{1,3,5,10,30}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propagated to barrier error (Study 2, RQ4).</w:t>
      </w:r>
    </w:p>
    <w:bookmarkStart w:colFirst="0" w:colLast="0" w:name="bookmark=id.vje1ew7jqg4" w:id="21"/>
    <w:bookmarkEnd w:id="21"/>
    <w:p w:rsidR="00000000" w:rsidDel="00000000" w:rsidP="00000000" w:rsidRDefault="00000000" w:rsidRPr="00000000" w14:paraId="000000C7">
      <w:pPr>
        <w:pStyle w:val="Heading2"/>
        <w:rPr/>
      </w:pPr>
      <w:r w:rsidDel="00000000" w:rsidR="00000000" w:rsidRPr="00000000">
        <w:rPr>
          <w:rtl w:val="0"/>
        </w:rPr>
        <w:t xml:space="preserve">3.7 Uncertainty propagation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ln</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acc>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=ln</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ln</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first-order (delta-method) variances are</w:t>
      </w:r>
    </w:p>
    <w:p w:rsidR="00000000" w:rsidDel="00000000" w:rsidP="00000000" w:rsidRDefault="00000000" w:rsidRPr="00000000" w14:paraId="000000C9">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Var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Var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a,ML</m:t>
                    </m:r>
                  </m:sub>
                </m:sSub>
              </m:e>
            </m:d>
          </m:num>
          <m:den>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a,ML</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bSup>
          </m:num>
          <m:den>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p>
            </m:sSup>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Var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18</m:t>
            </m:r>
          </m:e>
        </m:d>
      </m:oMath>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Var​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ln</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acc>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Var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MD</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a,ML</m:t>
                        </m:r>
                      </m:sub>
                    </m:sSub>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den>
                </m:f>
              </m:e>
            </m:d>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Var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19</m:t>
            </m:r>
          </m:e>
        </m:d>
      </m:oMath>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Var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MD</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statistical variance from the diffusion estimator [57] and the Arrhenius fit. Where the delta method is doubtful (small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large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Var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joint parametric bootstrap is used instead.</w:t>
      </w:r>
    </w:p>
    <w:bookmarkStart w:colFirst="0" w:colLast="0" w:name="bookmark=id.j5t1n4lo2hky" w:id="22"/>
    <w:bookmarkEnd w:id="22"/>
    <w:p w:rsidR="00000000" w:rsidDel="00000000" w:rsidP="00000000" w:rsidRDefault="00000000" w:rsidRPr="00000000" w14:paraId="000000CC">
      <w:pPr>
        <w:pStyle w:val="Heading2"/>
        <w:rPr/>
      </w:pPr>
      <w:r w:rsidDel="00000000" w:rsidR="00000000" w:rsidRPr="00000000">
        <w:rPr>
          <w:rtl w:val="0"/>
        </w:rPr>
        <w:t xml:space="preserve">3.8 Conformal selection with FDR control</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Units are Li hops with features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(structure, path, auxiliary force data) and outcome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b,DFT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fixed predictor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(raw or SRT barrier) is constructed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without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calibration or test outcomes. A calibration set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e>
        </m:d>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sSub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test units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n+j</m:t>
            </m:r>
          </m:sub>
        </m:sSub>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sup>
        </m:sSub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assumed jointly exchangeable. A hop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Y&lt;c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test unit we test the null hypothesis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0j</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n+j</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Score and p-value.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the clipped monotone score of Jin and Candès [7], oriented for small outcomes,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x,y</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 1{y&lt;c}+</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calibration nulls contribute, and the conformal p-value reduces to</w:t>
      </w:r>
    </w:p>
    <w:p w:rsidR="00000000" w:rsidDel="00000000" w:rsidP="00000000" w:rsidRDefault="00000000" w:rsidRPr="00000000" w14:paraId="000000CF">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nary>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n+j</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p>
                </m:nary>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n+j</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d>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n+1</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20</m:t>
            </m:r>
          </m:e>
        </m:d>
      </m:oMath>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Unif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0,1</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tie-breaking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gives the deterministic, conservative version).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ordered p-values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e>
            </m:d>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d>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Benjamini–Hochberg rule [53] selects</w:t>
      </w:r>
    </w:p>
    <w:p w:rsidR="00000000" w:rsidDel="00000000" w:rsidP="00000000" w:rsidRDefault="00000000" w:rsidRPr="00000000" w14:paraId="000000D2">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α</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max</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den>
            </m:f>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max</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=max</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d>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α</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den>
            </m:f>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21</m:t>
            </m:r>
          </m:e>
        </m:d>
      </m:oMath>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Guarantee.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exchangeability and a monotone score, the false discovery rate</w:t>
      </w:r>
    </w:p>
    <w:p w:rsidR="00000000" w:rsidDel="00000000" w:rsidP="00000000" w:rsidRDefault="00000000" w:rsidRPr="00000000" w14:paraId="000000D4">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FDR=E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e>
                </m:d>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max</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e>
                </m:d>
              </m:den>
            </m:f>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α</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22</m:t>
            </m:r>
          </m:e>
        </m:d>
      </m:oMath>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holds in finite samples, for any predictor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 Predictor quality affects only power. This separation is central to the design: C3 remains valid even if C1 fails.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Granularity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deterministic p-values,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n+1</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non-empty selection therefore requires at least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n+1</m:t>
                </m:r>
              </m:e>
            </m:d>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units attaining small p-values. For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n=m=200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m:t>α</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constraint rules out conformal selection on the small FPMD panel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dictates that calibration sets should not be smaller than test sets.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Hops within a chemical system are dependent. Exchangeability is enforced at the chemical-system level by (i) randomly partitioning chemical systems into calibration and test and (ii) drawing one hop per chemical system; evaluation averages over repeated draws. As a sensitivity analysis, the Benjamini–Yekutieli correction [63] is also reported.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Covariate shift.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prospective pool, whose covariate distribution may differ from the calibration data, the weighted conformal selection procedure of Jin and Candès [54] is used, which modifies BH and is not equivalent to applying BH to weighted p-values. Density ratios are estimated with a probabilistic classifier on structural descriptors; a classifier AUC near 0.5 is reported as evidence that unweighted selection is adequate.</w:t>
      </w:r>
    </w:p>
    <w:bookmarkStart w:colFirst="0" w:colLast="0" w:name="bookmark=id.ry1r8sh4uyy0" w:id="23"/>
    <w:bookmarkEnd w:id="23"/>
    <w:p w:rsidR="00000000" w:rsidDel="00000000" w:rsidP="00000000" w:rsidRDefault="00000000" w:rsidRPr="00000000" w14:paraId="000000D9">
      <w:pPr>
        <w:pStyle w:val="Heading2"/>
        <w:rPr/>
      </w:pPr>
      <w:r w:rsidDel="00000000" w:rsidR="00000000" w:rsidRPr="00000000">
        <w:rPr>
          <w:rtl w:val="0"/>
        </w:rPr>
        <w:t xml:space="preserve">3.9 Validity conditions</w:t>
      </w:r>
    </w:p>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3. Assumptions, consequences of violation and diagnostics.</w:t>
      </w:r>
    </w:p>
    <w:tbl>
      <w:tblPr>
        <w:tblStyle w:val="Table4"/>
        <w:tblW w:w="7920.0" w:type="dxa"/>
        <w:jc w:val="left"/>
        <w:tblInd w:w="-70.0" w:type="dxa"/>
        <w:tblBorders>
          <w:top w:color="000000" w:space="0" w:sz="12" w:val="single"/>
          <w:bottom w:color="000000" w:space="0" w:sz="12" w:val="single"/>
          <w:insideH w:color="bfbfbf" w:space="0" w:sz="4" w:val="single"/>
        </w:tblBorders>
        <w:tblLayout w:type="fixed"/>
        <w:tblLook w:val="0020"/>
      </w:tblPr>
      <w:tblGrid>
        <w:gridCol w:w="2420"/>
        <w:gridCol w:w="2640"/>
        <w:gridCol w:w="2860"/>
        <w:tblGridChange w:id="0">
          <w:tblGrid>
            <w:gridCol w:w="2420"/>
            <w:gridCol w:w="2640"/>
            <w:gridCol w:w="2860"/>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Assumption</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If violated</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Diagnostic in this study</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Classical nuclei</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Quantum corrections do not scale with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Li at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300</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K; noted as limitation</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Same reference functional for </w:t>
            </w:r>
            <m:oMath>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and ground truth</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absorbs functional mismatch, not softening</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Transition-metal systems excluded from primary analysis (PBE vs PBE+U mismatch [4])</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Uniform softening, Eq. (1)</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Residual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m:t>Δ</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nu</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in Eq. (14)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m:t>ρ</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SRT</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Li</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vs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host</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vs energy</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Weak thermostat coupling</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Friction biases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Numerical identity check (Study 3)</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Structure stable at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T/s</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Melting or decomposition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Host-framework MSD and Lindemann index</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Vacancy barrier </w:t>
            </w:r>
            <m:oMath>
              <m:r>
                <m:t>≈</m:t>
              </m:r>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a</m:t>
                  </m:r>
                </m:sub>
              </m:sSub>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Carrier-formation and correlated effects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Barrier–MD comparison reported separately [13, 30]</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Exchangeability</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FDR guarantee lost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Chemical-system randomisation; shift classifier</w:t>
            </w:r>
            <w:r w:rsidDel="00000000" w:rsidR="00000000" w:rsidRPr="00000000">
              <w:rPr>
                <w:rtl w:val="0"/>
              </w:rPr>
            </w:r>
          </w:p>
        </w:tc>
      </w:tr>
    </w:tbl>
    <w:bookmarkStart w:colFirst="0" w:colLast="0" w:name="bookmark=id.ypyjd6ptne15" w:id="24"/>
    <w:bookmarkEnd w:id="24"/>
    <w:p w:rsidR="00000000" w:rsidDel="00000000" w:rsidP="00000000" w:rsidRDefault="00000000" w:rsidRPr="00000000" w14:paraId="000000F3">
      <w:pPr>
        <w:pStyle w:val="Heading1"/>
        <w:rPr/>
      </w:pPr>
      <w:r w:rsidDel="00000000" w:rsidR="00000000" w:rsidRPr="00000000">
        <w:rPr>
          <w:rtl w:val="0"/>
        </w:rPr>
        <w:t xml:space="preserve">4. Research Questions and Pre-Registered Hypotheses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Hypotheses, estimands and decision rules are registered on the Open Science Framework before test-split outcomes are inspected. Thresholds are fixed during the pilot on training-split data only.</w:t>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4. Research questions, hypotheses and decision rules.</w:t>
      </w:r>
    </w:p>
    <w:tbl>
      <w:tblPr>
        <w:tblStyle w:val="Table5"/>
        <w:tblW w:w="7916.999999999999" w:type="dxa"/>
        <w:jc w:val="left"/>
        <w:tblInd w:w="-70.0" w:type="dxa"/>
        <w:tblBorders>
          <w:top w:color="000000" w:space="0" w:sz="12" w:val="single"/>
          <w:bottom w:color="000000" w:space="0" w:sz="12" w:val="single"/>
          <w:insideH w:color="bfbfbf" w:space="0" w:sz="4" w:val="single"/>
        </w:tblBorders>
        <w:tblLayout w:type="fixed"/>
        <w:tblLook w:val="0020"/>
      </w:tblPr>
      <w:tblGrid>
        <w:gridCol w:w="1365"/>
        <w:gridCol w:w="2457"/>
        <w:gridCol w:w="1911"/>
        <w:gridCol w:w="2184"/>
        <w:tblGridChange w:id="0">
          <w:tblGrid>
            <w:gridCol w:w="1365"/>
            <w:gridCol w:w="2457"/>
            <w:gridCol w:w="1911"/>
            <w:gridCol w:w="2184"/>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RQ</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Hypothesis</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Estimand</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Decision rule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RQ1: Is barrier error dominated by uniform softening?</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H1: SRT with leakage-free material-level </w:t>
            </w:r>
            <m:oMath>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reduces fixed-geometry barrier MAE, and the reduction increases with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1−</m:t>
              </m:r>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across models (dose–response)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m:t>ρ</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SRT</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Eq. (16); slope of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m:t>ρ</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SRT</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on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1−s</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m:t>ρ</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SRT</m:t>
                  </m:r>
                </m:sub>
              </m:s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0.30</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with 95% CI &gt; 0 for models with median </w:t>
            </w:r>
            <m:oMath>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0.9</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and positive dose–response. Refute: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m:t>ρ</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SRT</m:t>
                  </m:r>
                </m:sub>
              </m:s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&lt;0.10</m:t>
              </m:r>
            </m:oMath>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RQ2: Does SRT transfer to dynamics?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H2: SRT reduces error in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log</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10</m:t>
                  </m:r>
                </m:sub>
              </m:s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and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a</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relative to FPMD</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Paired differences in absolute error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 both CIs exclude 0</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RQ3: Is the mechanism pretraining coverage?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H3: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is ordered MPtrj &lt; MatPES-type &lt; OMat24-type, and SRT gains follow the reverse order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Ordered medians; Spearman trend</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Refute if gains are equal or reversed</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RQ4: What is the label budget?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H4: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K</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stabilises within </w:t>
            </w:r>
            <m:oMath>
              <m:r>
                <m: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0.03</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for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K</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10</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SD</m:t>
              </m:r>
              <m:d>
                <m:dPr>
                  <m:begChr m:val="("/>
                  <m:end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K</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barrier MAE vs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K</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Report plateau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K</m:t>
              </m:r>
            </m:oMath>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RQ5: Is screening reliable and does SRT help?</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H5a: realised FDR </w:t>
            </w:r>
            <m:oMath>
              <m:r>
                <m:t>≤</m:t>
              </m:r>
              <m:r>
                <m:t>α</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H5b: SRT increases power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Mean FDP; mean true discoveries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H5a is a validity check; H5b supported if paired CI &gt; 0</w:t>
            </w:r>
            <w:r w:rsidDel="00000000" w:rsidR="00000000" w:rsidRPr="00000000">
              <w:rPr>
                <w:rtl w:val="0"/>
              </w:rPr>
            </w:r>
          </w:p>
        </w:tc>
      </w:tr>
    </w:tbl>
    <w:bookmarkStart w:colFirst="0" w:colLast="0" w:name="bookmark=id.gblpj8eyldv1" w:id="25"/>
    <w:bookmarkEnd w:id="25"/>
    <w:p w:rsidR="00000000" w:rsidDel="00000000" w:rsidP="00000000" w:rsidRDefault="00000000" w:rsidRPr="00000000" w14:paraId="0000010E">
      <w:pPr>
        <w:pStyle w:val="Heading1"/>
        <w:rPr/>
      </w:pPr>
      <w:r w:rsidDel="00000000" w:rsidR="00000000" w:rsidRPr="00000000">
        <w:rPr>
          <w:rtl w:val="0"/>
        </w:rPr>
        <w:t xml:space="preserve">5. Research Design and Methods</w:t>
      </w:r>
    </w:p>
    <w:bookmarkStart w:colFirst="0" w:colLast="0" w:name="bookmark=id.qyzuyhpp1xyw" w:id="26"/>
    <w:bookmarkEnd w:id="26"/>
    <w:p w:rsidR="00000000" w:rsidDel="00000000" w:rsidP="00000000" w:rsidRDefault="00000000" w:rsidRPr="00000000" w14:paraId="0000010F">
      <w:pPr>
        <w:pStyle w:val="Heading2"/>
        <w:rPr/>
      </w:pPr>
      <w:r w:rsidDel="00000000" w:rsidR="00000000" w:rsidRPr="00000000">
        <w:rPr>
          <w:rtl w:val="0"/>
        </w:rPr>
        <w:t xml:space="preserve">5.1 Overall design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is a sequential, pre-registered computational experiment in five studies (Table 5). Studies 1–2 and 4 require only single-point inference; Study 3 requires molecular dynamics; Study 5 applies the frozen workflow prospectively. The test partition and FPMD reference values are not inspected until all methods and thresholds are frozen.</w:t>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5. Study architecture.</w:t>
      </w:r>
    </w:p>
    <w:tbl>
      <w:tblPr>
        <w:tblStyle w:val="Table6"/>
        <w:tblW w:w="7917.0" w:type="dxa"/>
        <w:jc w:val="left"/>
        <w:tblInd w:w="-70.0" w:type="dxa"/>
        <w:tblBorders>
          <w:top w:color="000000" w:space="0" w:sz="12" w:val="single"/>
          <w:bottom w:color="000000" w:space="0" w:sz="12" w:val="single"/>
          <w:insideH w:color="bfbfbf" w:space="0" w:sz="4" w:val="single"/>
        </w:tblBorders>
        <w:tblLayout w:type="fixed"/>
        <w:tblLook w:val="0020"/>
      </w:tblPr>
      <w:tblGrid>
        <w:gridCol w:w="913"/>
        <w:gridCol w:w="1827"/>
        <w:gridCol w:w="1827"/>
        <w:gridCol w:w="1523"/>
        <w:gridCol w:w="1827"/>
        <w:tblGridChange w:id="0">
          <w:tblGrid>
            <w:gridCol w:w="913"/>
            <w:gridCol w:w="1827"/>
            <w:gridCol w:w="1827"/>
            <w:gridCol w:w="1523"/>
            <w:gridCol w:w="1827"/>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Study</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Question</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Data</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Computation</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Output</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 Softening atlas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RQ1, RQ3, RQ4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MPLiTrj frames [4]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Single points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distributions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 Barrier test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RQ1, RQ4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nebDFT2k [4]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Single points; ML-NEB subsample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m:t>ρ</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SRT</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dose–response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 Transport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RQ2</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FPMD archive [6]</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ML-MD</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log</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10</m:t>
                  </m:r>
                </m:sub>
              </m:s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a</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errors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 Conformal selection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RQ5</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nebDFT2k</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Post-processing</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FDR, power</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 Prospective screen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Demonstration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BVEL13k pool [4]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ML-NEB + selection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Shortlist, evidence table</w:t>
            </w:r>
            <w:r w:rsidDel="00000000" w:rsidR="00000000" w:rsidRPr="00000000">
              <w:rPr>
                <w:rtl w:val="0"/>
              </w:rPr>
            </w:r>
          </w:p>
        </w:tc>
      </w:tr>
    </w:tbl>
    <w:bookmarkStart w:colFirst="0" w:colLast="0" w:name="bookmark=id.l4dkcjp93uhc" w:id="27"/>
    <w:bookmarkEnd w:id="27"/>
    <w:p w:rsidR="00000000" w:rsidDel="00000000" w:rsidP="00000000" w:rsidRDefault="00000000" w:rsidRPr="00000000" w14:paraId="00000130">
      <w:pPr>
        <w:pStyle w:val="Heading2"/>
        <w:rPr/>
      </w:pPr>
      <w:r w:rsidDel="00000000" w:rsidR="00000000" w:rsidRPr="00000000">
        <w:rPr>
          <w:rtl w:val="0"/>
        </w:rPr>
        <w:t xml:space="preserve">5.2 Data sources and provenance</w:t>
      </w:r>
    </w:p>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6. Open data sources.</w:t>
      </w:r>
    </w:p>
    <w:tbl>
      <w:tblPr>
        <w:tblStyle w:val="Table7"/>
        <w:tblW w:w="7918.000000000001" w:type="dxa"/>
        <w:jc w:val="left"/>
        <w:tblInd w:w="-70.0" w:type="dxa"/>
        <w:tblBorders>
          <w:top w:color="000000" w:space="0" w:sz="12" w:val="single"/>
          <w:bottom w:color="000000" w:space="0" w:sz="12" w:val="single"/>
          <w:insideH w:color="bfbfbf" w:space="0" w:sz="4" w:val="single"/>
        </w:tblBorders>
        <w:tblLayout w:type="fixed"/>
        <w:tblLook w:val="0020"/>
      </w:tblPr>
      <w:tblGrid>
        <w:gridCol w:w="1458"/>
        <w:gridCol w:w="3126"/>
        <w:gridCol w:w="2084"/>
        <w:gridCol w:w="1250"/>
        <w:tblGridChange w:id="0">
          <w:tblGrid>
            <w:gridCol w:w="1458"/>
            <w:gridCol w:w="3126"/>
            <w:gridCol w:w="2084"/>
            <w:gridCol w:w="1250"/>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Dataset</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Content</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Reference settings</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Role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nebDFT2k [4]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1,681 Li-vacancy hops, 876 structures, 45 elements; BVSE-preconditioned initial paths; CI-NEB with 3–5 images; 8:1:1 split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VASP, PBE, non-spin-polarised, no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U</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520 eV, Γ-point,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max</m:t>
                  </m:r>
                </m:sub>
              </m:s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=0.1</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eV Å</w:t>
            </w:r>
            <w:sdt>
              <w:sdtPr>
                <w:id w:val="-263611772"/>
                <w:tag w:val="goog_rdk_6"/>
              </w:sdtPr>
              <w:sdtContent>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superscript"/>
                    <w:rtl w:val="0"/>
                  </w:rPr>
                  <w:t xml:space="preserve">−1</w:t>
                </w:r>
              </w:sdtContent>
            </w:sdt>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supercells &gt; 8 Å</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Ground-truth barriers; conformal units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MPLiTrj [4]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Frames from DFT-NEB optimisations with energies, forces and stresses (paper reports 929,066 configurations; verify public release size)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As above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Leakage-free </w:t>
            </w:r>
            <m:oMath>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oMath>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BVEL13k, nebBVSE122k [4]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12,807 structures with BVSE percolation barriers; 122,421 BVSE hop barriers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Empirical BVSE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Prospective pool and prefilter</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Materials Cloud FPMD [6]</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FPMD of about 130 structures, 78 extensively</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Plane-wave PBE (settings to be recorded from archive)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Transport ground truth</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Follow-up screen [34]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Larger first-principles transport screen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 be verified</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Optional panel extension</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Experimental [64, 65]</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Room-temperature conductivities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Experimental</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Qualitative sanity check only</w:t>
            </w:r>
            <w:r w:rsidDel="00000000" w:rsidR="00000000" w:rsidRPr="00000000">
              <w:rPr>
                <w:rtl w:val="0"/>
              </w:rPr>
            </w:r>
          </w:p>
        </w:tc>
      </w:tr>
    </w:tbl>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DFT settings of nebDFT2k (Γ-point sampling, 0.1 eV Å</w:t>
      </w:r>
      <w:sdt>
        <w:sdtPr>
          <w:id w:val="-1839376537"/>
          <w:tag w:val="goog_rdk_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superscript"/>
              <w:rtl w:val="0"/>
            </w:rPr>
            <w:t xml:space="preserve">−1</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force tolerance) define a numerical noise floor for barrier comparisons that is estimated from the spread of energies of symmetry-equivalent images where available and reported alongside all MAEs.</w:t>
      </w:r>
    </w:p>
    <w:bookmarkStart w:colFirst="0" w:colLast="0" w:name="bookmark=id.t15b087atqhl" w:id="28"/>
    <w:bookmarkEnd w:id="28"/>
    <w:p w:rsidR="00000000" w:rsidDel="00000000" w:rsidP="00000000" w:rsidRDefault="00000000" w:rsidRPr="00000000" w14:paraId="0000014F">
      <w:pPr>
        <w:pStyle w:val="Heading2"/>
        <w:rPr/>
      </w:pPr>
      <w:r w:rsidDel="00000000" w:rsidR="00000000" w:rsidRPr="00000000">
        <w:rPr>
          <w:rtl w:val="0"/>
        </w:rPr>
        <w:t xml:space="preserve">5.3 Inclusion and exclusion criteria</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analysis: hops in structures without transition metals or other elements for which MPtrj uses Hubbard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U</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because the reference mismatch would be absorbed into </w:t>
      </w:r>
      <m:oMath>
        <m:acc>
          <m:accPr>
            <m: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 Transition-metal hops form a pre-registered secondary analysis.</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Hops with failed or non-monotone DFT-NEB convergence flags (if provided) are excluded and counted.</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Barrier definition follows the reference dataset (maximum minus minimum image energy); the definition is verified against the LiTraj loader before analysis.</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Structures whose FPMD reference shows host-framework melting are excluded from Study 3.</w:t>
      </w:r>
    </w:p>
    <w:bookmarkStart w:colFirst="0" w:colLast="0" w:name="bookmark=id.ukp4c97ob8k0" w:id="29"/>
    <w:bookmarkEnd w:id="29"/>
    <w:p w:rsidR="00000000" w:rsidDel="00000000" w:rsidP="00000000" w:rsidRDefault="00000000" w:rsidRPr="00000000" w14:paraId="00000154">
      <w:pPr>
        <w:pStyle w:val="Heading2"/>
        <w:rPr/>
      </w:pPr>
      <w:r w:rsidDel="00000000" w:rsidR="00000000" w:rsidRPr="00000000">
        <w:rPr>
          <w:rtl w:val="0"/>
        </w:rPr>
        <w:t xml:space="preserve">5.4 Partitioning and leakage control</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published LiTraj split, which propagates nebDFT2k test structures across all LiTraj subsets [4], is used as the primary partition to preserve comparability. In addition, ten repeated partitions grouped by chemical system (60% calibration or training, 40% test) quantify split variability. All frames and hops of a chemical system share a partition; the Study 5 pool excludes every chemical system present in any evaluation partition. Model checkpoints are used without modification, so no training leakage is possible; the only fitted quantities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linear recalibration baseline) are estimated on training partitions or on non-path frames.</w:t>
      </w:r>
    </w:p>
    <w:bookmarkStart w:colFirst="0" w:colLast="0" w:name="bookmark=id.93p41888wny6" w:id="30"/>
    <w:bookmarkEnd w:id="30"/>
    <w:p w:rsidR="00000000" w:rsidDel="00000000" w:rsidP="00000000" w:rsidRDefault="00000000" w:rsidRPr="00000000" w14:paraId="00000156">
      <w:pPr>
        <w:pStyle w:val="Heading2"/>
        <w:rPr/>
      </w:pPr>
      <w:r w:rsidDel="00000000" w:rsidR="00000000" w:rsidRPr="00000000">
        <w:rPr>
          <w:rtl w:val="0"/>
        </w:rPr>
        <w:t xml:space="preserve">5.5 Models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Models are selected to create contrasts in pretraining data rather than to rank architectures.</w:t>
      </w:r>
    </w:p>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7. Model groups.</w:t>
      </w:r>
    </w:p>
    <w:tbl>
      <w:tblPr>
        <w:tblStyle w:val="Table8"/>
        <w:tblW w:w="7920.0" w:type="dxa"/>
        <w:jc w:val="left"/>
        <w:tblInd w:w="-70.0" w:type="dxa"/>
        <w:tblBorders>
          <w:top w:color="000000" w:space="0" w:sz="12" w:val="single"/>
          <w:bottom w:color="000000" w:space="0" w:sz="12" w:val="single"/>
          <w:insideH w:color="bfbfbf" w:space="0" w:sz="4" w:val="single"/>
        </w:tblBorders>
        <w:tblLayout w:type="fixed"/>
        <w:tblLook w:val="0020"/>
      </w:tblPr>
      <w:tblGrid>
        <w:gridCol w:w="1260"/>
        <w:gridCol w:w="1980"/>
        <w:gridCol w:w="2520"/>
        <w:gridCol w:w="2160"/>
        <w:tblGridChange w:id="0">
          <w:tblGrid>
            <w:gridCol w:w="1260"/>
            <w:gridCol w:w="1980"/>
            <w:gridCol w:w="2520"/>
            <w:gridCol w:w="2160"/>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Group</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Pretraining data</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Candidates (licences verified in week 1)</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Purpose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Materials Project relaxation data (MPtrj; MPF for M3GNet)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CHGNet [23]; M3GNet [22]; MACE-MP-0 small [25]; SevenNet-0 [24]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Wide range of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LiTraj reports strong underestimation for CHGNet and M3GNet and near-zero-centred errors for MACE [4]</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B1</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MatPES-type (MD-sampled) [37]</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One released MatPES-trained model</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Intermediate coverage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B2</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OMat24-type (off-equilibrium) [36]</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One OMat24-trained model, preferably of an architecture also present in Group A</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 coverage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 (optional)</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Fine-tuned comparator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Group-A model fine-tuned on MPLiTrj training split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Fraction of fine-tuning benefit recovered</w:t>
            </w:r>
            <w:r w:rsidDel="00000000" w:rsidR="00000000" w:rsidRPr="00000000">
              <w:rPr>
                <w:rtl w:val="0"/>
              </w:rPr>
            </w:r>
          </w:p>
        </w:tc>
      </w:tr>
    </w:tbl>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and dataset are confounded when no architecture-matched pair is available; this is reported as a limitation of H3.</w:t>
      </w:r>
    </w:p>
    <w:bookmarkStart w:colFirst="0" w:colLast="0" w:name="bookmark=id.j4mxe27d6cif" w:id="31"/>
    <w:bookmarkEnd w:id="31"/>
    <w:p w:rsidR="00000000" w:rsidDel="00000000" w:rsidP="00000000" w:rsidRDefault="00000000" w:rsidRPr="00000000" w14:paraId="0000016E">
      <w:pPr>
        <w:pStyle w:val="Heading2"/>
        <w:rPr/>
      </w:pPr>
      <w:r w:rsidDel="00000000" w:rsidR="00000000" w:rsidRPr="00000000">
        <w:rPr>
          <w:rtl w:val="0"/>
        </w:rPr>
        <w:t xml:space="preserve">5.6 Study 1 — Softening atlas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every model and training-partition structure, Eq. (17) is evaluated on MPLiTrj frames that satisfy the leakage rule of Section 3.6 for the hop to be corrected. Outputs are the distributions of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model, anion family (oxide, sulfide, halide, nitride, other), element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host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configurational-energy decile. The label-budget curve is obtained by repeated subsampling of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w:t>
      </w:r>
    </w:p>
    <w:bookmarkStart w:colFirst="0" w:colLast="0" w:name="bookmark=id.o3as4uvbs98n" w:id="32"/>
    <w:bookmarkEnd w:id="32"/>
    <w:p w:rsidR="00000000" w:rsidDel="00000000" w:rsidP="00000000" w:rsidRDefault="00000000" w:rsidRPr="00000000" w14:paraId="00000170">
      <w:pPr>
        <w:pStyle w:val="Heading2"/>
        <w:rPr/>
      </w:pPr>
      <w:r w:rsidDel="00000000" w:rsidR="00000000" w:rsidRPr="00000000">
        <w:rPr>
          <w:rtl w:val="0"/>
        </w:rPr>
        <w:t xml:space="preserve">5.7 Study 2 — Barrier correction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2a (primary, fixed geometry).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hop, ML single-point energies are computed on the DFT-NEB images, giving </w:t>
      </w:r>
      <m:oMath>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fix</m:t>
            </m:r>
          </m:sup>
        </m:sSub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SRT gives </w:t>
      </w:r>
      <m:oMath>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fix</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2b (secondary, relaxed).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a stratified subsample of approximately 300 hops, ML-NEB is started from the BVSE-preconditioned paths as in LiTraj [4], and raw and SRT barriers are compared with DFT; the difference from Stage 2a tests Proposition 2.</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Comparators.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raw ML; (ii) SRT with global, family, material and oracle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(iii) a label-using linear recalibration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fitted on training-partition barriers; (iv) optionally, the fine-tuned model (Group C). SRT uses no barrier labels, so parity with (iii) is a strong result.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MAE and RMSE (eV); signed mean error; Spearman </w:t>
      </w:r>
      <m:oMath>
        <m:r>
          <m:t>ρ</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precision, recall and F1 for classification at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{0.3,0.5}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 the latter matching prior good/poor-conductor thresholds [27];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ρ</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SRT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Eq. (16).</w:t>
      </w:r>
    </w:p>
    <w:bookmarkStart w:colFirst="0" w:colLast="0" w:name="bookmark=id.jkp2qzpd2skc" w:id="33"/>
    <w:bookmarkEnd w:id="33"/>
    <w:p w:rsidR="00000000" w:rsidDel="00000000" w:rsidP="00000000" w:rsidRDefault="00000000" w:rsidRPr="00000000" w14:paraId="00000175">
      <w:pPr>
        <w:pStyle w:val="Heading2"/>
        <w:rPr/>
      </w:pPr>
      <w:r w:rsidDel="00000000" w:rsidR="00000000" w:rsidRPr="00000000">
        <w:rPr>
          <w:rtl w:val="0"/>
        </w:rPr>
        <w:t xml:space="preserve">5.8 Study 3 — Transport validation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Identity verification (gate G2).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two materials, MD is run with a calculator returning </w:t>
      </w:r>
      <m:oMath>
        <m:r>
          <m:t>λ</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m:t>λ</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m:t>λ</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=0.8</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temperature </w:t>
      </w:r>
      <m:oMath>
        <m:r>
          <m:t>λ</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with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rescaling time by </w:t>
      </w:r>
      <m:oMath>
        <m:rad>
          <m:radPr>
            <m:degHide m:val="1"/>
          </m:radPr>
          <m:e>
            <m:r>
              <m:t>λ</m:t>
            </m:r>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MSD curves must coincide within statistical uncertainty, and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values must satisfy Eq. (7). This validates thermostat settings and code before production.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Sixteen to twenty-four materials from the extensively simulated FPMD subset [6], spanning at least three anion families and two orders of magnitude in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transition-metal-free.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Fixed-cell NVT using the reference cell (removing the separate thermal-expansion effect of softening); weakly coupled stochastic velocity-rescaling thermostat [61]; time step 1 fs; supercell faces separated by at least 8 Å; equilibration 10 ps; production 50–100 ps; two independent velocity seeds for a subset. The ML temperature grid spans </w:t>
      </w:r>
      <m:oMath>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ref,min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ref,max</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that SRT estimates at every reference temperature are obtained by interpolation within the sampled range rather than extrapolation.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Tracer diffusion from the MSD,</w:t>
      </w:r>
    </w:p>
    <w:p w:rsidR="00000000" w:rsidDel="00000000" w:rsidP="00000000" w:rsidRDefault="00000000" w:rsidRPr="00000000" w14:paraId="0000017A">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MSD</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Li</m:t>
                </m:r>
              </m:sub>
            </m:sSub>
          </m:den>
        </m:f>
        <m:nary>
          <m:nary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i=1</m:t>
            </m:r>
          </m:sub>
          <m:sup>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Li</m:t>
                </m:r>
              </m:sub>
            </m:sSub>
          </m:sup>
        </m:nary>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e>
                    </m:d>
                  </m:e>
                </m:d>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sub>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tr</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limLow>
          <m:limLow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limLow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lim</m:t>
            </m:r>
          </m:e>
          <m:li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lim>
        </m:limLow>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MSD</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6t</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23</m:t>
            </m:r>
          </m:e>
        </m:d>
      </m:oMath>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with the Bayesian regression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[57]; Arrhenius fits by Eq. (12); errors in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log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matched reference temperatures and in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Spearman correlation of material rankings. Structural integrity is monitored by host-framework MSD and the Lindemann index, applied at the reference-equivalent temperature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sim</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bookmark=id.nlbc3sc7c0ak" w:id="34"/>
    <w:bookmarkEnd w:id="34"/>
    <w:p w:rsidR="00000000" w:rsidDel="00000000" w:rsidP="00000000" w:rsidRDefault="00000000" w:rsidRPr="00000000" w14:paraId="0000017C">
      <w:pPr>
        <w:pStyle w:val="Heading2"/>
        <w:rPr/>
      </w:pPr>
      <w:r w:rsidDel="00000000" w:rsidR="00000000" w:rsidRPr="00000000">
        <w:rPr>
          <w:rtl w:val="0"/>
        </w:rPr>
        <w:t xml:space="preserve">5.9 Study 4 — Conformal selection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of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R=200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 draws (one hop per chemical system) within each of ten chemical-system partitions: compute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(raw, SRT-global, SRT-family); apply Eqs. (20)–(21) for </w:t>
      </w:r>
      <m:oMath>
        <m:r>
          <m:t>α</m:t>
        </m:r>
        <m: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{0.1,0.2}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{0.3,0.5}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 record false discovery proportion, number of true discoveries and selection size. The naive rule “select if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evaluated as the uncontrolled comparator. Realised FDR is the mean false discovery proportion with Monte Carlo standard error.</w:t>
      </w:r>
    </w:p>
    <w:bookmarkStart w:colFirst="0" w:colLast="0" w:name="bookmark=id.aztu4gnqg2qy" w:id="35"/>
    <w:bookmarkEnd w:id="35"/>
    <w:p w:rsidR="00000000" w:rsidDel="00000000" w:rsidP="00000000" w:rsidRDefault="00000000" w:rsidRPr="00000000" w14:paraId="0000017E">
      <w:pPr>
        <w:pStyle w:val="Heading2"/>
        <w:rPr/>
      </w:pPr>
      <w:r w:rsidDel="00000000" w:rsidR="00000000" w:rsidRPr="00000000">
        <w:rPr>
          <w:rtl w:val="0"/>
        </w:rPr>
        <w:t xml:space="preserve">5.10 Study 5 — Prospective demonstration</w:t>
      </w:r>
    </w:p>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8. Prospective screening funnel.</w:t>
      </w:r>
    </w:p>
    <w:tbl>
      <w:tblPr>
        <w:tblStyle w:val="Table9"/>
        <w:tblW w:w="7919.000000000001" w:type="dxa"/>
        <w:jc w:val="left"/>
        <w:tblInd w:w="-70.0" w:type="dxa"/>
        <w:tblBorders>
          <w:top w:color="000000" w:space="0" w:sz="12" w:val="single"/>
          <w:bottom w:color="000000" w:space="0" w:sz="12" w:val="single"/>
          <w:insideH w:color="bfbfbf" w:space="0" w:sz="4" w:val="single"/>
        </w:tblBorders>
        <w:tblLayout w:type="fixed"/>
        <w:tblLook w:val="0020"/>
      </w:tblPr>
      <w:tblGrid>
        <w:gridCol w:w="1131"/>
        <w:gridCol w:w="5657"/>
        <w:gridCol w:w="1131"/>
        <w:tblGridChange w:id="0">
          <w:tblGrid>
            <w:gridCol w:w="1131"/>
            <w:gridCol w:w="5657"/>
            <w:gridCol w:w="1131"/>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Gate</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Operation</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Selection is on covariates only?</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BVEL13k structures, excluding all evaluation chemical systems, transition-metal-free, same element and hop-length criteria as nebDFT2k [4]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Yes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BVSE percolation-barrier prefilter; identify rate-limiting hop on the percolating network</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Yes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ML-NEB with the best-validated model; SRT with global or family </w:t>
            </w:r>
            <m:oMath>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Yes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Weighted conformal selection at </w:t>
            </w:r>
            <m:oMath>
              <m:r>
                <m:t>α</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=0.2</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c=0.5</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eV [54]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Decision</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Quantum ESPRESSO [66] single points at ML endpoints and saddle for the top three to six hops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Consistency check</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Evidence table; literature and experimental database checks only after the list is frozen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Reporting</w:t>
            </w: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gates 0–2 condition only on covariates, the conditional distribution of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unchanged and the weighted procedure remains applicable, provided the pool’s covariate support lies within that of the calibration data. Gate 4 yields single-point energies at ML geometries, not DFT-NEB barriers, and is reported as such. A hop-level result is a necessary but not sufficient condition for fast macroscopic conduction [4].</w:t>
      </w:r>
    </w:p>
    <w:bookmarkStart w:colFirst="0" w:colLast="0" w:name="bookmark=id.13fljxpvdmdk" w:id="36"/>
    <w:bookmarkEnd w:id="36"/>
    <w:p w:rsidR="00000000" w:rsidDel="00000000" w:rsidP="00000000" w:rsidRDefault="00000000" w:rsidRPr="00000000" w14:paraId="00000196">
      <w:pPr>
        <w:pStyle w:val="Heading2"/>
        <w:rPr/>
      </w:pPr>
      <w:r w:rsidDel="00000000" w:rsidR="00000000" w:rsidRPr="00000000">
        <w:rPr>
          <w:rtl w:val="0"/>
        </w:rPr>
        <w:t xml:space="preserve">5.11 Statistical analysis plan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endpoints.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(P1)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ρ</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SRT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Stage 2a for Group-A models; (P2) paired reduction in </w:t>
      </w:r>
      <m:oMath>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m:t>Δ</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log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Study 3; (P3) realised FDR in Study 4. Holm correction is applied across P1–P2; P3 is a validity check, not a superiority test.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confidence intervals are 95% chemical-system (Study 2, 4) or material (Study 3) cluster-bootstrap percentile intervals with at least 2,000 resamples [62]. Comparisons are paired on identical units.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Study 2 uses every eligible hop, so sample size is fixed by the data. A simulation-based minimum-detectable-effect analysis is performed on the training-split pilot in week 5 and reported. Study 3 is powered for effect-size estimation rather than significance; with 16–24 materials, results are reported with intervals and a sign test.</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analyses.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Transition-metal subset; energy-resolved and element-resolved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Stage 2a versus 2b; Benjamini–Yekutieli sensitivity; threshold sensitivity for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bookmark=id.f6qi22c9my6z" w:id="37"/>
    <w:bookmarkEnd w:id="37"/>
    <w:p w:rsidR="00000000" w:rsidDel="00000000" w:rsidP="00000000" w:rsidRDefault="00000000" w:rsidRPr="00000000" w14:paraId="0000019B">
      <w:pPr>
        <w:pStyle w:val="Heading1"/>
        <w:rPr/>
      </w:pPr>
      <w:r w:rsidDel="00000000" w:rsidR="00000000" w:rsidRPr="00000000">
        <w:rPr>
          <w:rtl w:val="0"/>
        </w:rPr>
        <w:t xml:space="preserve">6. Decision Gates and Contingencies</w:t>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9. Pre-registered gates.</w:t>
      </w:r>
    </w:p>
    <w:tbl>
      <w:tblPr>
        <w:tblStyle w:val="Table10"/>
        <w:tblW w:w="7920.0" w:type="dxa"/>
        <w:jc w:val="left"/>
        <w:tblInd w:w="-70.0" w:type="dxa"/>
        <w:tblBorders>
          <w:top w:color="000000" w:space="0" w:sz="12" w:val="single"/>
          <w:bottom w:color="000000" w:space="0" w:sz="12" w:val="single"/>
          <w:insideH w:color="bfbfbf" w:space="0" w:sz="4" w:val="single"/>
        </w:tblBorders>
        <w:tblLayout w:type="fixed"/>
        <w:tblLook w:val="0020"/>
      </w:tblPr>
      <w:tblGrid>
        <w:gridCol w:w="1485"/>
        <w:gridCol w:w="2970"/>
        <w:gridCol w:w="3465"/>
        <w:tblGridChange w:id="0">
          <w:tblGrid>
            <w:gridCol w:w="1485"/>
            <w:gridCol w:w="2970"/>
            <w:gridCol w:w="3465"/>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Gate (week)</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Pass condition</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Contingency</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G0 (1) Data</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nebDFT2k images carry per-image DFT energies and forces; FPMD references recoverable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Obtain FPMD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m:t>
              </m:r>
              <m:d>
                <m:dPr>
                  <m:begChr m:val="("/>
                  <m:end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T</m:t>
                  </m:r>
                </m:e>
              </m:d>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from publication tables; estimate panel </w:t>
            </w:r>
            <m:oMath>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from at most 10 Quantum ESPRESSO single points per material at reference settings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G1 (7) Static SRT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m:t>ρ</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SRT</m:t>
                  </m:r>
                </m:sub>
              </m:s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0.10</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for at least one Group-A model with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0.9</m:t>
              </m:r>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Re-frame C1 as an error decomposition (uniform vs element-resolved vs energy-dependent vs residual); C3 proceeds with raw scores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G2 (10) Identity</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MSD collapse within uncertainty</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Correct thermostat coupling; do not start the panel</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G3 (12) Dynamic SRT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d>
                <m:dPr>
                  <m:begChr m:val="|"/>
                  <m:end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dPr>
                <m:e>
                  <m:r>
                    <m:t>Δ</m:t>
                  </m:r>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log</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10</m:t>
                      </m:r>
                    </m:sub>
                  </m:s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D</m:t>
                  </m:r>
                </m:e>
              </m:d>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reduction CI excludes 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Report static success and dynamic failure; analyse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Li</m:t>
                  </m:r>
                </m:sub>
              </m:sSub>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vs </w:t>
            </w:r>
            <m:oMath>
              <m:sSub>
                <m:sSub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host</m:t>
                  </m:r>
                </m:sub>
              </m:sSub>
            </m:oMath>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G4 (14) Validity</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Realised FDR </w:t>
            </w:r>
            <m:oMath>
              <m:r>
                <m:t>≤</m:t>
              </m:r>
              <m:r>
                <m:t>α</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+ 2 MC s.e.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Audit grouping and exchangeability before any prospective use</w:t>
            </w:r>
            <w:r w:rsidDel="00000000" w:rsidR="00000000" w:rsidRPr="00000000">
              <w:rPr>
                <w:rtl w:val="0"/>
              </w:rPr>
            </w:r>
          </w:p>
        </w:tc>
      </w:tr>
    </w:tbl>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viable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Studies 1, 2a and 4 require only single-point inference and constitute a complete short paper; Studies 3 and 5 extend it to a full journal article.</w:t>
      </w:r>
    </w:p>
    <w:bookmarkStart w:colFirst="0" w:colLast="0" w:name="bookmark=id.ehpr61mxhlka" w:id="38"/>
    <w:bookmarkEnd w:id="38"/>
    <w:p w:rsidR="00000000" w:rsidDel="00000000" w:rsidP="00000000" w:rsidRDefault="00000000" w:rsidRPr="00000000" w14:paraId="000001B0">
      <w:pPr>
        <w:pStyle w:val="Heading1"/>
        <w:rPr/>
      </w:pPr>
      <w:r w:rsidDel="00000000" w:rsidR="00000000" w:rsidRPr="00000000">
        <w:rPr>
          <w:rtl w:val="0"/>
        </w:rPr>
        <w:t xml:space="preserve">7. Resources and Computational Budget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software is open source: ASE [67], pymatgen [68], the LiTraj loader [4], model packages for Groups A–B,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[57], LAMMPS [69] where a model interface exists, Quantum ESPRESSO [66] (optional), NumPy/SciPy/pandas, Git, and a lock-file environment. Pre-registration uses the Open Science Framework; releases are archived on Zenodo.</w:t>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10. Order-of-magnitude workload.</w:t>
      </w:r>
    </w:p>
    <w:tbl>
      <w:tblPr>
        <w:tblStyle w:val="Table11"/>
        <w:tblW w:w="7920.0" w:type="dxa"/>
        <w:jc w:val="left"/>
        <w:tblInd w:w="-70.0" w:type="dxa"/>
        <w:tblBorders>
          <w:top w:color="000000" w:space="0" w:sz="12" w:val="single"/>
          <w:bottom w:color="000000" w:space="0" w:sz="12" w:val="single"/>
          <w:insideH w:color="bfbfbf" w:space="0" w:sz="4" w:val="single"/>
        </w:tblBorders>
        <w:tblLayout w:type="fixed"/>
        <w:tblLook w:val="0020"/>
      </w:tblPr>
      <w:tblGrid>
        <w:gridCol w:w="1080"/>
        <w:gridCol w:w="4320"/>
        <w:gridCol w:w="2520"/>
        <w:tblGridChange w:id="0">
          <w:tblGrid>
            <w:gridCol w:w="1080"/>
            <w:gridCol w:w="4320"/>
            <w:gridCol w:w="2520"/>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Study</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Workload</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Hardware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 2a</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m:t>
              </m:r>
              <m:sSup>
                <m:sSup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5</m:t>
                  </m:r>
                </m:sup>
              </m:sSup>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single-point evaluations across six models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One GPU (CPU feasible)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2b</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300</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hops × models × </w:t>
            </w:r>
            <m:oMath>
              <m:sSup>
                <m:sSupPr>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10</m:t>
                  </m:r>
                </m:e>
                <m:sup>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NEB steps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One GPU</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16–24 materials × 4 temperatures × 50–100 ps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One GPU; throughput benchmarked in week 2</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Post-processing</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CPU</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r>
                <m: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300</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–600 ML-NEB; </w:t>
            </w:r>
            <m:oMath>
              <m:r>
                <m:t>≤</m:t>
              </m:r>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20</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DFT single points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GPU + local CPU</w:t>
            </w: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hardware is used first and free notebook GPU quotas only as overflow; all jobs are chunked, checkpointed and resumable.</w:t>
      </w:r>
    </w:p>
    <w:bookmarkStart w:colFirst="0" w:colLast="0" w:name="bookmark=id.oelc1oujynp9" w:id="39"/>
    <w:bookmarkEnd w:id="39"/>
    <w:p w:rsidR="00000000" w:rsidDel="00000000" w:rsidP="00000000" w:rsidRDefault="00000000" w:rsidRPr="00000000" w14:paraId="000001C6">
      <w:pPr>
        <w:pStyle w:val="Heading1"/>
        <w:rPr/>
      </w:pPr>
      <w:r w:rsidDel="00000000" w:rsidR="00000000" w:rsidRPr="00000000">
        <w:rPr>
          <w:rtl w:val="0"/>
        </w:rPr>
        <w:t xml:space="preserve">8. Work Plan</w:t>
      </w:r>
    </w:p>
    <w:p w:rsidR="00000000" w:rsidDel="00000000" w:rsidP="00000000" w:rsidRDefault="00000000" w:rsidRPr="00000000" w14:paraId="000001C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11. Eighteen-week schedule.</w:t>
      </w:r>
    </w:p>
    <w:tbl>
      <w:tblPr>
        <w:tblStyle w:val="Table12"/>
        <w:tblW w:w="7918.0" w:type="dxa"/>
        <w:jc w:val="left"/>
        <w:tblInd w:w="-70.0" w:type="dxa"/>
        <w:tblBorders>
          <w:top w:color="000000" w:space="0" w:sz="12" w:val="single"/>
          <w:bottom w:color="000000" w:space="0" w:sz="12" w:val="single"/>
          <w:insideH w:color="bfbfbf" w:space="0" w:sz="4" w:val="single"/>
        </w:tblBorders>
        <w:tblLayout w:type="fixed"/>
        <w:tblLook w:val="0020"/>
      </w:tblPr>
      <w:tblGrid>
        <w:gridCol w:w="819"/>
        <w:gridCol w:w="1365"/>
        <w:gridCol w:w="4369"/>
        <w:gridCol w:w="1365"/>
        <w:tblGridChange w:id="0">
          <w:tblGrid>
            <w:gridCol w:w="819"/>
            <w:gridCol w:w="1365"/>
            <w:gridCol w:w="4369"/>
            <w:gridCol w:w="1365"/>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Week</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Dates</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Activities</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Milestone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14–20 Sep</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Novelty re-check (search strings archived); licences; environment; download LiTraj; verify image energies/forces and barrier definition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G0 (part)</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21–27 Sep</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Inspect FPMD archive; MD throughput benchmark; written derivation of Section 3 checked by a colleague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G0</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28 Sep–11 Oct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Data manifests; chemical-system partitions; scripts on toy data; OSF registration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Registered protocol</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5–6</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12–25 Oct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Study 1; pilot and minimum-detectable-effect analysis on training split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Atlas figure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26 Oct–1 Nov</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Study 2a on test partition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G1</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8–9</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2–15 Nov</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Study 2b; label budget; optional Group C</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Barrier results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16–22 Nov</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Identity verification; panel set-up</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G2</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11–12</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23 Nov–6 Dec</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Study 3 production and analysis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G3</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13–14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7–20 Dec</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Study 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G4</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15</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21–27 Dec</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Study 5 gates 0–3 (unattended runs)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Frozen shortlist</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28 Dec–3 Jan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Study 5 gate 4; buffer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Evidence table</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17</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4–10 Jan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Sensitivity analyses; figures from scripts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Final tables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18</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11–17 Jan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Manuscript, preprint, code and data release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Submission</w:t>
            </w:r>
            <w:r w:rsidDel="00000000" w:rsidR="00000000" w:rsidRPr="00000000">
              <w:rPr>
                <w:rtl w:val="0"/>
              </w:rPr>
            </w:r>
          </w:p>
        </w:tc>
      </w:tr>
    </w:tbl>
    <w:bookmarkStart w:colFirst="0" w:colLast="0" w:name="bookmark=id.318wa82lyatj" w:id="40"/>
    <w:bookmarkEnd w:id="40"/>
    <w:p w:rsidR="00000000" w:rsidDel="00000000" w:rsidP="00000000" w:rsidRDefault="00000000" w:rsidRPr="00000000" w14:paraId="00000200">
      <w:pPr>
        <w:pStyle w:val="Heading1"/>
        <w:rPr/>
      </w:pPr>
      <w:r w:rsidDel="00000000" w:rsidR="00000000" w:rsidRPr="00000000">
        <w:rPr>
          <w:rtl w:val="0"/>
        </w:rPr>
        <w:t xml:space="preserve">9. Risk Assessment</w:t>
      </w:r>
    </w:p>
    <w:p w:rsidR="00000000" w:rsidDel="00000000" w:rsidP="00000000" w:rsidRDefault="00000000" w:rsidRPr="00000000" w14:paraId="0000020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Table 12. Principal risks.</w:t>
      </w:r>
    </w:p>
    <w:tbl>
      <w:tblPr>
        <w:tblStyle w:val="Table13"/>
        <w:tblW w:w="7917.0" w:type="dxa"/>
        <w:jc w:val="left"/>
        <w:tblInd w:w="-70.0" w:type="dxa"/>
        <w:tblBorders>
          <w:top w:color="000000" w:space="0" w:sz="12" w:val="single"/>
          <w:bottom w:color="000000" w:space="0" w:sz="12" w:val="single"/>
          <w:insideH w:color="bfbfbf" w:space="0" w:sz="4" w:val="single"/>
        </w:tblBorders>
        <w:tblLayout w:type="fixed"/>
        <w:tblLook w:val="0020"/>
      </w:tblPr>
      <w:tblGrid>
        <w:gridCol w:w="2741"/>
        <w:gridCol w:w="913"/>
        <w:gridCol w:w="913"/>
        <w:gridCol w:w="3350"/>
        <w:tblGridChange w:id="0">
          <w:tblGrid>
            <w:gridCol w:w="2741"/>
            <w:gridCol w:w="913"/>
            <w:gridCol w:w="913"/>
            <w:gridCol w:w="3350"/>
          </w:tblGrid>
        </w:tblGridChange>
      </w:tblGrid>
      <w:tr>
        <w:trPr>
          <w:cantSplit w:val="1"/>
          <w:tblHeader w:val="1"/>
        </w:trPr>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Risk</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Likelihood</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Impact</w:t>
            </w:r>
            <w:r w:rsidDel="00000000" w:rsidR="00000000" w:rsidRPr="00000000">
              <w:rPr>
                <w:rtl w:val="0"/>
              </w:rPr>
            </w:r>
          </w:p>
        </w:tc>
        <w:tc>
          <w:tcPr>
            <w:tcBorders>
              <w:bottom w:color="000000" w:space="0" w:sz="8" w:val="single"/>
            </w:tcBorders>
            <w:shd w:fill="e7e6e6" w:val="clear"/>
            <w:tcMar>
              <w:top w:w="40.0" w:type="dxa"/>
              <w:left w:w="70.0" w:type="dxa"/>
              <w:bottom w:w="40.0" w:type="dxa"/>
              <w:right w:w="70.0" w:type="dxa"/>
            </w:tcMa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Mitigation</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Prior art for C1 found in week 1</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Low–medium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Lead with C3 and C4; C1 becomes large-scale validation</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Softening strongly non-uniform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Pre-registered decomposition (Section 3.5) is itself a result</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Reference-functional mismatch contaminates </w:t>
            </w:r>
            <m:oMath>
              <m:acc>
                <m:accPr>
                  <m:chr m:val="̂"/>
                  <m:ctrlP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e>
              </m:acc>
            </m:oMath>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 for TM systems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TM exclusion; forces only; per-source analysis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Small </w:t>
            </w:r>
            <m:oMath>
              <m: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t xml:space="preserve">s</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spread (e.g. near-unity for MACE)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Include CHGNet/M3GNet, which show strong underestimation [4]</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MD throughput insufficient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Reduce panel to 12–16 materials, 3 temperatures</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Exchangeability violated in prospective pool</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Weighted selection; shift classifier; no FDR claim if support is not covered</w:t>
            </w:r>
            <w:r w:rsidDel="00000000" w:rsidR="00000000" w:rsidRPr="00000000">
              <w:rPr>
                <w:rtl w:val="0"/>
              </w:rPr>
            </w:r>
          </w:p>
        </w:tc>
      </w:tr>
      <w:tr>
        <w:trPr>
          <w:cantSplit w:val="1"/>
          <w:tblHeader w:val="0"/>
        </w:trPr>
        <w:tc>
          <w:tcPr>
            <w:tcMar>
              <w:top w:w="40.0" w:type="dxa"/>
              <w:left w:w="70.0" w:type="dxa"/>
              <w:bottom w:w="40.0" w:type="dxa"/>
              <w:right w:w="70.0" w:type="dxa"/>
            </w:tcM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Venue fit</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Frame around reliable decision-making and physics-based correction; decide venue by week 3</w:t>
            </w:r>
            <w:r w:rsidDel="00000000" w:rsidR="00000000" w:rsidRPr="00000000">
              <w:rPr>
                <w:rtl w:val="0"/>
              </w:rPr>
            </w:r>
          </w:p>
        </w:tc>
      </w:tr>
    </w:tbl>
    <w:bookmarkStart w:colFirst="0" w:colLast="0" w:name="bookmark=id.x4m6hnibf16z" w:id="41"/>
    <w:bookmarkEnd w:id="41"/>
    <w:p w:rsidR="00000000" w:rsidDel="00000000" w:rsidP="00000000" w:rsidRDefault="00000000" w:rsidRPr="00000000" w14:paraId="00000222">
      <w:pPr>
        <w:pStyle w:val="Heading1"/>
        <w:rPr/>
      </w:pPr>
      <w:r w:rsidDel="00000000" w:rsidR="00000000" w:rsidRPr="00000000">
        <w:rPr>
          <w:rtl w:val="0"/>
        </w:rPr>
        <w:t xml:space="preserve">10. Expected Outputs and Dissemination</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figures map one-to-one onto research questions: (Fig. 1) concept; (Fig. 2) softening atlas and dose–response; (Fig. 3) raw versus SRT barrier parity with recalibration baseline; (Fig. 4) label budget; (Fig. 5) identity verification, Arrhenius plots and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log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parity; (Fig. 6) realised FDR versus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power, raw versus SRT. Tables report datasets and splits, primary endpoints with intervals and compute cost, and the prospective evidence matrix. For an IEEE venue, the manuscript foregrounds the statistically guaranteed decision procedure and the training-free correction as an efficient, verifiable engineering method; a materials-informatics journal is the fallback venue.</w:t>
      </w:r>
    </w:p>
    <w:bookmarkStart w:colFirst="0" w:colLast="0" w:name="bookmark=id.kgqc7io54sfi" w:id="42"/>
    <w:bookmarkEnd w:id="42"/>
    <w:p w:rsidR="00000000" w:rsidDel="00000000" w:rsidP="00000000" w:rsidRDefault="00000000" w:rsidRPr="00000000" w14:paraId="00000224">
      <w:pPr>
        <w:pStyle w:val="Heading1"/>
        <w:rPr/>
      </w:pPr>
      <w:r w:rsidDel="00000000" w:rsidR="00000000" w:rsidRPr="00000000">
        <w:rPr>
          <w:rtl w:val="0"/>
        </w:rPr>
        <w:t xml:space="preserve">11. Reproducibility and Research Integrity</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 data are immutable and hashed; every derived artefact is produced by a versioned script; seeds, model versions and hardware are logged; figures are generated from saved tables; failed runs are retained in a machine-readable decision log with a reason code at every gate; the registered protocol, deviations and negative results are reported. The practices of the earlier project guide (manifests, candidate log, repository structure) are retained unchanged.</w:t>
      </w:r>
    </w:p>
    <w:bookmarkStart w:colFirst="0" w:colLast="0" w:name="bookmark=id.qnhmkw6drzpt" w:id="43"/>
    <w:bookmarkEnd w:id="43"/>
    <w:p w:rsidR="00000000" w:rsidDel="00000000" w:rsidP="00000000" w:rsidRDefault="00000000" w:rsidRPr="00000000" w14:paraId="00000226">
      <w:pPr>
        <w:pStyle w:val="Heading1"/>
        <w:rPr/>
      </w:pPr>
      <w:r w:rsidDel="00000000" w:rsidR="00000000" w:rsidRPr="00000000">
        <w:rPr>
          <w:rtl w:val="0"/>
        </w:rPr>
        <w:t xml:space="preserve">12. Limitations and Future Work</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SRT addresses one error mode — uniform softening — and cannot correct functional mismatch, missing long-range physics or path-topology errors. DFT-NEB barriers are themselves approximations to experimental activation energies [30, 31], and hop barriers do not determine conductivity without percolation, carrier concentration and correlation [4, 13]. The FDR guarantee concerns the stated DFT-level outcome, not experimental conductivity. Future work includes explicit electrostatics for charged defects and interfaces [29], Na-ion conductors, energy-dependent scaling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learned from few labels, and conformal selection on experimental data once structure–measurement matching is reliable [64, 65].</w:t>
      </w:r>
    </w:p>
    <w:bookmarkStart w:colFirst="0" w:colLast="0" w:name="bookmark=id.2ynzfnysbgt1" w:id="44"/>
    <w:bookmarkEnd w:id="44"/>
    <w:p w:rsidR="00000000" w:rsidDel="00000000" w:rsidP="00000000" w:rsidRDefault="00000000" w:rsidRPr="00000000" w14:paraId="00000228">
      <w:pPr>
        <w:pStyle w:val="Heading1"/>
        <w:rPr/>
      </w:pPr>
      <w:r w:rsidDel="00000000" w:rsidR="00000000" w:rsidRPr="00000000">
        <w:rPr>
          <w:rtl w:val="0"/>
        </w:rPr>
        <w:t xml:space="preserve">Appendix A. Langevin Dynamics under Potential Scaling</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ξ</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ξ</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ξ</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t−t′</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Setting </w:t>
      </w:r>
      <m:oMath>
        <m:r>
          <m:t>τ</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gives </w:t>
      </w:r>
      <m:oMath>
        <m:r>
          <m:t>δ</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w:t>
      </w:r>
      <m:oMath>
        <m:r>
          <m:t>ξ</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1/4</m:t>
            </m:r>
          </m:sup>
        </m:sSup>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ξ</m:t>
            </m:r>
          </m:e>
        </m:acc>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unit-strength white noise </w:t>
      </w:r>
      <m:oMath>
        <m:acc>
          <m:accPr>
            <m:chr m:val="̃"/>
          </m:accPr>
          <m:e>
            <m:r>
              <m:t>ξ</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Dividing by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A">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num>
          <m:den>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dr</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−3/4</m:t>
            </m:r>
          </m:sup>
        </m:sSup>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ξ</m:t>
            </m:r>
          </m:e>
        </m:acc>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τ</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m:oMath>
        <m: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T′=T/s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noise amplitude </w:t>
      </w:r>
      <m:oMath>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−3/4</m:t>
            </m:r>
          </m:sup>
        </m:sSup>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matches, so the process is Langevin dynamics on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friction </w:t>
      </w:r>
      <m:oMath>
        <m:r>
          <m:t>γ</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consistent with the fluctuation–dissipation theorem.</w:t>
      </w:r>
    </w:p>
    <w:bookmarkStart w:colFirst="0" w:colLast="0" w:name="bookmark=id.r1m5zirik692" w:id="45"/>
    <w:bookmarkEnd w:id="45"/>
    <w:p w:rsidR="00000000" w:rsidDel="00000000" w:rsidP="00000000" w:rsidRDefault="00000000" w:rsidRPr="00000000" w14:paraId="0000022C">
      <w:pPr>
        <w:pStyle w:val="Heading1"/>
        <w:rPr/>
      </w:pPr>
      <w:r w:rsidDel="00000000" w:rsidR="00000000" w:rsidRPr="00000000">
        <w:rPr>
          <w:rtl w:val="0"/>
        </w:rPr>
        <w:t xml:space="preserve">Appendix B. Algorithms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1 — SRT for a hop.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Input: model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DFT frames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host structure not belonging to the hop; DFT-NEB images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Compute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Eq. (17) and its cluster-bootstrap interval. (2) Compute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fix</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max</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min</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Return </w:t>
      </w:r>
      <m:oMath>
        <m:sSubSup>
          <m:sSub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b,ML</m:t>
            </m:r>
          </m:sub>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fix</m:t>
            </m:r>
          </m:sup>
        </m:sSub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interval from Eq. (18) applied to barriers.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2 — SRT for diffusion.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Input: ML trajectories at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Estimate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variances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Relabel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ML</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sub>
            </m:sSub>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ad>
          <m:radPr>
            <m:degHide m:val="1"/>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rad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e>
            </m:acc>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Fit Eq. (12). (4) Propagate uncertainty by Eq. (19) or parametric bootstrap.</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3 — Conformal selection.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Input: calibration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b>
            </m:sSub>
          </m:e>
        </m:d>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n+j</m:t>
            </m:r>
          </m:sub>
        </m:sSub>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Compute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j</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Eq. (20). (2) Apply Eq. (21). (3) Return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Validity requires that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fixed before observing calibration outcomes and that units are exchangeable.</w:t>
      </w:r>
    </w:p>
    <w:bookmarkStart w:colFirst="0" w:colLast="0" w:name="bookmark=id.fizr7s5p36w5" w:id="46"/>
    <w:bookmarkEnd w:id="46"/>
    <w:p w:rsidR="00000000" w:rsidDel="00000000" w:rsidP="00000000" w:rsidRDefault="00000000" w:rsidRPr="00000000" w14:paraId="00000230">
      <w:pPr>
        <w:pStyle w:val="Heading1"/>
        <w:rPr/>
      </w:pPr>
      <w:r w:rsidDel="00000000" w:rsidR="00000000" w:rsidRPr="00000000">
        <w:rPr>
          <w:rtl w:val="0"/>
        </w:rPr>
        <w:t xml:space="preserve">References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B. Deng, Y. Choi, P. Zhong, J. Riebesell, S. Anand, Z. Li, K. Jun, K. A. Persson, and G. Ceder, “Systematic softening in universal machine learning interatomic potentials,” npj Computational Materials, vol. 11, art. 9, 2025.</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 J. Kim, J. Lee, S. Oh, Y. Park, S. Hwang, S. Han, S. Kang, and Y. Kang, “An efficient forgetting-aware fine-tuning framework for pretrained universal machine-learning interatomic potentials,” npj Computational Materials, vol. 12, art. 26, 2026.</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B. Deng et al., “Overcoming systematic softening in universal machine learning interatomic potentials by fine-tuning,” arXiv:2405.07105, 2024.</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 A. D. Dembitskiy, I. S. Humonen, R. A. Eremin, D. A. Aksyonov, S. S. Fedotov, and S. A. Budennyy, “Benchmarking machine learning models for predicting lithium ion migration,” npj Computational Materials, vol. 11, art. 131, 2025.</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 L. D. Landau and E. M. Lifshitz, Mechanics, 3rd ed., Course of Theoretical Physics, vol. 1. Oxford: Pergamon, 1976, §10 (mechanical similarity).</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 L. Kahle, A. Marcolongo, and N. Marzari, “High-throughput computational screening for solid-state Li-ion conductors,” Energy &amp; Environmental Science, vol. 13, pp. 928–948, 2020; data: Materials Cloud Archive.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[7] Y. Jin and E. J. Candès, “Selection by prediction with conformal p-values,” Journal of Machine Learning Research, vol. 24, 2023.</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 J. Janek and W. G. Zeier, “A solid future for battery development,” Nature Energy, vol. 1, art. 16141, 2016.</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 T. Famprikis, P. Canepa, J. A. Dawson, M. S. Islam, and C. Masquelier, “Fundamentals of inorganic solid-state electrolytes for batteries,” Nature Materials, vol. 18, pp. 1278–1291, 2019.</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 J. C. Bachman et al., “Inorganic solid-state electrolytes for lithium batteries: mechanisms and properties governing ion conduction,” Chemical Reviews, vol. 116, no. 1, pp. 140–162, 2016.</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[11] N. Kamaya et al., “A lithium superionic conductor,” Nature Materials, vol. 10, pp. 682–686, 2011.</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[12] Y. Mo, S. P. Ong, and G. Ceder, “First principles study of the Li10GeP2S12 lithium super ionic conductor material,” Chemistry of Materials, vol. 24, no. 1, pp. 15–17, 2012.</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[13] X. He, Y. Zhu, and Y. Mo, “Origin of fast ion diffusion in super-ionic conductors,” Nature Communications, vol. 8, art. 15893, 2017.</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[14] K. Jun et al., “Lithium superionic conductors with corner-sharing frameworks,” Nature Materials, vol. 21, pp. 924–931, 2022.</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[15] G. Henkelman, B. P. Uberuaga, and H. Jónsson, “A climbing image nudged elastic band method for finding saddle points and minimum energy paths,” The Journal of Chemical Physics, vol. 113, pp. 9901–9904, 2000.</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[16] A. D. Sendek et al., “Holistic computational structure screening of more than 12000 candidates for solid lithium-ion conductor materials,” Energy &amp; Environmental Science, vol. 10, pp. 306–320, 2017.</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[17] L. Kahle, A. Marcolongo, and N. Marzari, “Modeling lithium-ion solid-state electrolytes with a pinball model,” Physical Review Materials, vol. 2, art. 065405, 2018.</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[18] J. Behler and M. Parrinello, “Generalized neural-network representation of high-dimensional potential-energy surfaces,” Physical Review Letters, vol. 98, art. 146401, 2007.</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[19] V. L. Deringer, M. A. Caro, and G. Csányi, “Machine learning interatomic potentials as emerging tools for materials science,” Advanced Materials, vol. 31, art. 1902765, 2019.</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[20] S. Batzner et al., “E(3)-equivariant graph neural networks for data-efficient and accurate interatomic potentials,” Nature Communications, vol. 13, art. 2453, 2022.</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[21] I. Batatia, D. P. Kovács, G. N. C. Simm, C. Ortner, and G. Csányi, “MACE: Higher order equivariant message passing neural networks for fast and accurate force fields,” in Advances in Neural Information Processing Systems, 2022.</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[22] C. Chen and S. P. Ong, “A universal graph deep learning interatomic potential for the periodic table,” Nature Computational Science, vol. 2, pp. 718–728, 2022.</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[23] B. Deng et al., “CHGNet as a pretrained universal neural network potential for charge-informed atomistic modelling,” Nature Machine Intelligence, vol. 5, pp. 1031–1041, 2023.</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[24] Y. Park, J. Kim, S. Hwang, and S. Han, “Scalable parallel algorithm for graph neural network interatomic potentials in molecular dynamics simulations,” Journal of Chemical Theory and Computation, vol. 20, no. 11, pp. 4857–4868, 2024.</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[25] I. Batatia et al., “A foundation model for atomistic materials chemistry,” The Journal of Chemical Physics, vol. 163, art. 184110, 2025.</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[26] H. Du, X. Huang, and J. Hui, “Assessment and application of universal machine learning interatomic potentials in solid-state electrolyte research,” ACS Materials Letters, vol. 7, no. 10, pp. 3403–3412, 2025.</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[27] A. K. Bheemaguli, P. Xiao, and G. Sai Gautam, “Evaluation of foundational machine learned interatomic potentials for migration barrier predictions,” arXiv:2512.03642, 2025.</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[28] T. Bai et al., “Conformal selection for efficient and accurate compound screening in drug discovery,” Journal of Chemical Information and Modeling, vol. 65, no. 24, pp. 13070–13085, 2025.</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[29] M. Vondrák, W. J. Baldwin, G. Csányi, K. Reuter, and J. T. Margraf, “Integrating charge equilibration with equivariant machine-learning interatomic potentials,” Journal of Chemical Theory and Computation, vol. 22, no. 13, pp. 6874–6889, 2026.</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[30] A. K. Sagotra, D. Chu, and C. Cazorla, “Influence of lattice dynamics on lithium-ion conductivity: a first-principles study,” Physical Review Materials, vol. 3, art. 035405, 2019.</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[31] R. Devi, B. Singh, P. Canepa, and G. Sai Gautam, “Effect of exchange-correlation functionals on the estimation of migration barriers in battery materials,” npj Computational Materials, vol. 8, art. 160, 2022.</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[32] X. He, Y. Zhu, A. Epstein, and Y. Mo, “Statistical variances of diffusional properties from ab initio molecular dynamics simulations,” npj Computational Materials, vol. 4, art. 18, 2018.</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[33] F. Grasselli, “Investigating finite-size effects in molecular dynamics simulations of ion diffusion, heat transport, and thermal motion in superionic materials,” The Journal of Chemical Physics, vol. 156, art. 134705, 2022.</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[34] “Novel fast Li-ion conductors for solid-state electrolytes from first-principles,” arXiv:2601.03151, 2026 (author list and data record to be confirmed).</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[35] J. Riebesell et al., “A framework to evaluate machine learning crystal stability predictions,” Nature Machine Intelligence, vol. 7, pp. 836–847, 2025.</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[36] L. Barroso-Luque et al., “Open Materials 2024 (OMat24) inorganic materials dataset and models,” arXiv:2410.12771, 2024.</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[37] A. D. Kaplan, R. Liu, J. Qi, T. W. Ko, B. Deng, J. Riebesell, G. Ceder, K. A. Persson, and S. P. Ong, “A foundational potential energy surface dataset for materials,” arXiv:2503.04070, 2025.</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[38] S. R. Xie, S. J. Honrao, and J. W. Lawson, “High-throughput screening of Li solid-state electrolytes with bond valence methods and machine learning,” Chemistry of Materials, vol. 36, pp. 9320–9329, 2024.</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[39] “Evaluating mechanical property prediction across material classes using molecular dynamics simulations with universal machine-learned interatomic potentials,” arXiv:2511.22885, 2025.</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[40] K. S. Pitzer, “Corresponding states for perfect liquids,” The Journal of Chemical Physics, vol. 7, pp. 583–590, 1939.</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[41] E. A. Guggenheim, “The principle of corresponding states,” The Journal of Chemical Physics, vol. 13, pp. 253–261, 1945.</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[42] P. Liu, B. Kim, R. A. Friesner, and B. J. Berne, “Replica exchange with solute tempering: a method for sampling biological systems in explicit water,” Proceedings of the National Academy of Sciences, vol. 102, pp. 13749–13754, 2005.</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[43] L. Wang, R. A. Friesner, and B. J. Berne, “Replica exchange with solute scaling: a more efficient version of replica exchange with solute tempering (REST2),” The Journal of Physical Chemistry B, vol. 115, pp. 9431–9438, 2011.</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[44] G. H. Vineyard, “Frequency factors and isotope effects in solid state rate processes,” Journal of Physics and Chemistry of Solids, vol. 3, pp. 121–127, 1957.</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[45] A. A. Peterson, R. Christensen, and A. Khorshidi, “Addressing uncertainty in atomistic machine learning,” Physical Chemistry Chemical Physics, vol. 19, pp. 10978–10985, 2017.</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[46] F. Musil, M. J. Willatt, M. A. Langovoy, and M. Ceriotti, “Fast and accurate uncertainty estimation in chemical machine learning,” Journal of Chemical Theory and Computation, vol. 15, pp. 906–915, 2019.</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[47] H. Beck et al., “Multi-head committees enable direct uncertainty prediction for atomistic foundation models,” The Journal of Chemical Physics, 2025.</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[48] V. Vovk, A. Gammerman, and G. Shafer, Algorithmic Learning in a Random World. New York: Springer, 2005.</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[49] A. N. Angelopoulos and S. Bates, “A gentle introduction to conformal prediction and distribution-free uncertainty quantification,” arXiv:2107.07511, 2021.</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[50] Y. Hu, J. Musielewicz, Z. W. Ulissi, and A. J. Medford, “Robust and scalable uncertainty estimation with conformal prediction for machine-learned interatomic potentials,” Machine Learning: Science and Technology, vol. 3, art. 045028, 2022.</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[51] R. J. Tibshirani, R. F. Barber, E. J. Candès, and A. Ramdas, “Conformal prediction under covariate shift,” in Advances in Neural Information Processing Systems, vol. 32, 2019.</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[52] S. Bates, E. Candès, L. Lei, Y. Romano, and M. Sesia, “Testing for outliers with conformal p-values,” The Annals of Statistics, vol. 51, no. 1, pp. 149–178, 2023.</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[53] Y. Benjamini and Y. Hochberg, “Controlling the false discovery rate: a practical and powerful approach to multiple testing,” Journal of the Royal Statistical Society: Series B, vol. 57, pp. 289–300, 1995.</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[54] Y. Jin and E. J. Candès, “Model-free selective inference under covariate shift via weighted conformal p-values,” preprint, 2023 (check for the published version).</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[55] A. Einstein, “Über die von der molekularkinetischen Theorie der Wärme geforderte Bewegung von in ruhenden Flüssigkeiten suspendierten Teilchen,” Annalen der Physik, vol. 17, pp. 549–560, 1905.</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[56] D. Frenkel and B. Smit, Understanding Molecular Simulation, 2nd ed. San Diego: Academic Press, 2002.</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[57] A. R. McCluskey, S. W. Coles, and B. J. Morgan, “Accurate estimation of diffusion coefficients and their uncertainties from computer simulation,” Journal of Chemical Theory and Computation, vol. 21, no. 1, pp. 79–87, 2025.</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[58] G. E. Murch, “The Haven ratio in fast ionic conductors,” Solid State Ionics, vol. 7, pp. 177–198, 1982.</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[59] S. Nosé, “A molecular dynamics method for simulations in the canonical ensemble,” Molecular Physics, vol. 52, pp. 255–268, 1984.</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[60] W. G. Hoover, “Canonical dynamics: equilibrium phase-space distributions,” Physical Review A, vol. 31, pp. 1695–1697, 1985.</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[61] G. Bussi, D. Donadio, and M. Parrinello, “Canonical sampling through velocity rescaling,” The Journal of Chemical Physics, vol. 126, art. 014101, 2007.</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[62] B. Efron and R. J. Tibshirani, An Introduction to the Bootstrap. New York: Chapman &amp; Hall, 1993.</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[63] Y. Benjamini and D. Yekutieli, “The control of the false discovery rate in multiple testing under dependency,” The Annals of Statistics, vol. 29, pp. 1165–1188, 2001.</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[64] C. J. Hargreaves et al., “A database of experimentally measured lithium solid electrolyte conductivities evaluated with machine learning,” npj Computational Materials, vol. 9, art. 9, 2023.</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[65] F. Therrien et al., “OBELiX: a curated dataset of crystal structures and experimentally measured ionic conductivities for lithium solid-state electrolytes,” Digital Discovery, vol. 5, pp. 910–918, 2026.</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[66] P. Giannozzi et al., “QUANTUM ESPRESSO: a modular and open-source software project for quantum simulations of materials,” Journal of Physics: Condensed Matter, vol. 21, art. 395502, 2009.</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[67] A. H. Larsen et al., “The atomic simulation environment—a Python library for working with atoms,” Journal of Physics: Condensed Matter, vol. 29, art. 273002, 2017.</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[68] S. P. Ong et al., “Python Materials Genomics (pymatgen): a robust, open-source Python library for materials analysis,” Computational Materials Science, vol. 68, pp. 314–319, 2013.</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[69] A. P. Thompson et al., “LAMMPS—a flexible simulation tool for particle-based materials modeling at the atomic, meso, and continuum scales,” Computer Physics Communications, vol. 271, art. 108171, 2022.</w:t>
      </w:r>
    </w:p>
    <w:sectPr>
      <w:headerReference r:id="rId7" w:type="default"/>
      <w:footerReference r:id="rId8" w:type="default"/>
      <w:pgSz w:h="16838" w:w="11906" w:orient="portrait"/>
      <w:pgMar w:bottom="1304" w:top="1304" w:left="1304" w:right="1304"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jc w:val="right"/>
      <w:rPr/>
    </w:pPr>
    <w:r w:rsidDel="00000000" w:rsidR="00000000" w:rsidRPr="00000000">
      <w:rPr>
        <w:rFonts w:ascii="Times New Roman" w:cs="Times New Roman" w:eastAsia="Times New Roman" w:hAnsi="Times New Roman"/>
        <w:i w:val="1"/>
        <w:iCs w:val="1"/>
        <w:sz w:val="18"/>
        <w:szCs w:val="18"/>
        <w:rtl w:val="0"/>
      </w:rPr>
      <w:t xml:space="preserve">E3-SSE Research Design and Protocol v3.0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80" w:before="24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1800" w:lineRule="auto"/>
      <w:jc w:val="center"/>
    </w:pPr>
    <w:rPr>
      <w:rFonts w:ascii="Times New Roman" w:cs="Times New Roman" w:eastAsia="Times New Roman" w:hAnsi="Times New Roman"/>
      <w:b w:val="1"/>
      <w:bCs w:val="1"/>
      <w:color w:val="000000"/>
      <w:sz w:val="40"/>
      <w:szCs w:val="40"/>
    </w:rPr>
  </w:style>
  <w:style w:type="paragraph" w:styleId="BodyText">
    <w:name w:val="Body Text"/>
    <w:basedOn w:val="Normal"/>
    <w:link w:val="BodyTextChar"/>
    <w:qFormat w:val="1"/>
    <w:pPr>
      <w:spacing w:after="120" w:before="0" w:line="276" w:lineRule="auto"/>
      <w:jc w:val="both"/>
    </w:pPr>
    <w:rPr>
      <w:rFonts w:ascii="Times New Roman" w:cs="Times New Roman" w:eastAsia="Times New Roman" w:hAnsi="Times New Roman"/>
      <w:color w:val="000000"/>
      <w:sz w:val="24"/>
    </w:rPr>
  </w:style>
  <w:style w:type="paragraph" w:styleId="FirstParagraph" w:customStyle="1">
    <w:name w:val="First Paragraph"/>
    <w:basedOn w:val="BodyText"/>
    <w:next w:val="BodyText"/>
    <w:qFormat w:val="1"/>
    <w:pPr>
      <w:spacing w:after="120" w:before="0" w:line="276" w:lineRule="auto"/>
      <w:jc w:val="both"/>
    </w:pPr>
    <w:rPr>
      <w:rFonts w:ascii="Times New Roman" w:cs="Times New Roman" w:eastAsia="Times New Roman" w:hAnsi="Times New Roman"/>
      <w:color w:val="000000"/>
      <w:sz w:val="24"/>
    </w:rPr>
  </w:style>
  <w:style w:type="paragraph" w:styleId="Compact" w:customStyle="1">
    <w:name w:val="Compact"/>
    <w:basedOn w:val="BodyText"/>
    <w:qFormat w:val="1"/>
    <w:pPr>
      <w:spacing w:after="36" w:before="36"/>
    </w:pPr>
    <w:rPr>
      <w:rFonts w:ascii="Times New Roman" w:cs="Times New Roman" w:eastAsia="Times New Roman" w:hAnsi="Times New Roman"/>
      <w:color w:val="000000"/>
      <w:sz w:val="22"/>
    </w:rPr>
  </w:style>
  <w:style w:type="paragraph" w:styleId="Author" w:customStyle="1">
    <w:name w:val="Author"/>
    <w:next w:val="BodyText"/>
    <w:qFormat w:val="1"/>
    <w:pPr>
      <w:keepNext w:val="1"/>
      <w:keepLines w:val="1"/>
      <w:jc w:val="center"/>
    </w:pPr>
    <w:rPr>
      <w:rFonts w:ascii="Times New Roman" w:cs="Times New Roman" w:eastAsia="Times New Roman" w:hAnsi="Times New Roman"/>
      <w:color w:val="000000"/>
      <w:sz w:val="24"/>
    </w:rPr>
  </w:style>
  <w:style w:type="paragraph" w:styleId="Date">
    <w:name w:val="Date"/>
    <w:next w:val="BodyText"/>
    <w:qFormat w:val="1"/>
    <w:pPr>
      <w:keepNext w:val="1"/>
      <w:keepLines w:val="1"/>
      <w:jc w:val="center"/>
    </w:pPr>
    <w:rPr>
      <w:rFonts w:ascii="Times New Roman" w:cs="Times New Roman" w:eastAsia="Times New Roman" w:hAnsi="Times New Roman"/>
      <w:color w:val="000000"/>
      <w:sz w:val="24"/>
    </w:rPr>
  </w:style>
  <w:style w:type="paragraph" w:styleId="AbstractTitle" w:customStyle="1">
    <w:name w:val="Abstract Title"/>
    <w:basedOn w:val="Normal"/>
    <w:next w:val="Abstract"/>
    <w:qFormat w:val="1"/>
    <w:pPr>
      <w:keepNext w:val="1"/>
      <w:keepLines w:val="1"/>
      <w:spacing w:after="0" w:before="300"/>
      <w:jc w:val="center"/>
    </w:pPr>
    <w:rPr>
      <w:rFonts w:ascii="Times New Roman" w:cs="Times New Roman" w:eastAsia="Times New Roman" w:hAnsi="Times New Roman"/>
      <w:b w:val="1"/>
      <w:color w:val="000000"/>
      <w:sz w:val="24"/>
      <w:szCs w:val="20"/>
    </w:rPr>
  </w:style>
  <w:style w:type="paragraph" w:styleId="Abstract" w:customStyle="1">
    <w:name w:val="Abstract"/>
    <w:basedOn w:val="Normal"/>
    <w:next w:val="BodyText"/>
    <w:qFormat w:val="1"/>
    <w:pPr>
      <w:keepNext w:val="1"/>
      <w:keepLines w:val="1"/>
      <w:spacing w:after="300" w:before="100"/>
    </w:pPr>
    <w:rPr>
      <w:rFonts w:ascii="Times New Roman" w:cs="Times New Roman" w:eastAsia="Times New Roman" w:hAnsi="Times New Roman"/>
      <w:color w:val="000000"/>
      <w:sz w:val="24"/>
      <w:szCs w:val="20"/>
    </w:rPr>
  </w:style>
  <w:style w:type="paragraph" w:styleId="Bibliography">
    <w:name w:val="Bibliography"/>
    <w:basedOn w:val="Normal"/>
    <w:next w:val="Bibliography"/>
    <w:qFormat w:val="1"/>
    <w:pPr/>
    <w:rPr>
      <w:rFonts w:ascii="Times New Roman" w:cs="Times New Roman" w:eastAsia="Times New Roman" w:hAnsi="Times New Roman"/>
      <w:color w:val="000000"/>
      <w:sz w:val="24"/>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rPr>
      <w:rFonts w:ascii="Times New Roman" w:cs="Times New Roman" w:eastAsia="Times New Roman" w:hAnsi="Times New Roman"/>
      <w:color w:val="000000"/>
      <w:sz w:val="24"/>
    </w:rPr>
  </w:style>
  <w:style w:type="paragraph" w:styleId="FootnoteText">
    <w:name w:val="Footnote Text"/>
    <w:basedOn w:val="Normal"/>
    <w:next w:val="FootnoteText"/>
    <w:uiPriority w:val="9"/>
    <w:unhideWhenUsed w:val="1"/>
    <w:qFormat w:val="1"/>
    <w:rPr>
      <w:rFonts w:ascii="Times New Roman" w:cs="Times New Roman" w:eastAsia="Times New Roman" w:hAnsi="Times New Roman"/>
      <w:color w:val="000000"/>
      <w:sz w:val="24"/>
    </w:r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rFonts w:ascii="Times New Roman" w:cs="Times New Roman" w:eastAsia="Times New Roman" w:hAnsi="Times New Roman"/>
      <w:b w:val="1"/>
      <w:color w:val="000000"/>
      <w:sz w:val="24"/>
    </w:rPr>
  </w:style>
  <w:style w:type="paragraph" w:styleId="Definition" w:customStyle="1">
    <w:name w:val="Definition"/>
    <w:basedOn w:val="Normal"/>
    <w:rPr>
      <w:rFonts w:ascii="Times New Roman" w:cs="Times New Roman" w:eastAsia="Times New Roman" w:hAnsi="Times New Roman"/>
      <w:color w:val="000000"/>
      <w:sz w:val="24"/>
    </w:rPr>
  </w:style>
  <w:style w:type="paragraph" w:styleId="Caption">
    <w:name w:val="Caption"/>
    <w:basedOn w:val="Normal"/>
    <w:link w:val="BodyTextChar"/>
    <w:pPr>
      <w:spacing w:after="120" w:before="0"/>
    </w:pPr>
    <w:rPr>
      <w:rFonts w:ascii="Times New Roman" w:cs="Times New Roman" w:eastAsia="Times New Roman" w:hAnsi="Times New Roman"/>
      <w:i w:val="1"/>
      <w:color w:val="000000"/>
      <w:sz w:val="24"/>
    </w:rPr>
  </w:style>
  <w:style w:type="paragraph" w:styleId="TableCaption" w:customStyle="1">
    <w:name w:val="Table Caption"/>
    <w:basedOn w:val="Caption"/>
    <w:pPr>
      <w:keepNext w:val="1"/>
      <w:spacing w:after="80" w:before="240"/>
      <w:jc w:val="left"/>
    </w:pPr>
    <w:rPr>
      <w:rFonts w:ascii="Times New Roman" w:cs="Times New Roman" w:eastAsia="Times New Roman" w:hAnsi="Times New Roman"/>
      <w:b w:val="1"/>
      <w:color w:val="000000"/>
      <w:sz w:val="22"/>
    </w:rPr>
  </w:style>
  <w:style w:type="paragraph" w:styleId="ImageCaption" w:customStyle="1">
    <w:name w:val="Image Caption"/>
    <w:basedOn w:val="Caption"/>
    <w:rPr>
      <w:rFonts w:ascii="Times New Roman" w:cs="Times New Roman" w:eastAsia="Times New Roman" w:hAnsi="Times New Roman"/>
      <w:color w:val="000000"/>
      <w:sz w:val="24"/>
    </w:rPr>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imes New Roman" w:cs="Times New Roman" w:eastAsia="Times New Roman" w:hAnsi="Times New Roman"/>
      <w:b w:val="0"/>
      <w:bCs w:val="0"/>
      <w:color w:val="000000"/>
      <w:sz w:val="24"/>
    </w:rPr>
  </w:style>
  <w:style w:type="paragraph" w:styleId="FrontMatter" w:customStyle="1">
    <w:name w:val="Front Matter"/>
    <w:basedOn w:val="Normal"/>
    <w:pPr>
      <w:spacing w:before="800"/>
      <w:jc w:val="center"/>
    </w:pPr>
    <w:rPr>
      <w:rFonts w:ascii="Times New Roman" w:cs="Times New Roman" w:eastAsia="Times New Roman" w:hAnsi="Times New Roman"/>
      <w:color w:val="000000"/>
      <w:sz w:val="22"/>
    </w:rPr>
  </w:style>
  <w:style w:type="paragraph" w:styleId="Reference" w:customStyle="1">
    <w:name w:val="Reference"/>
    <w:basedOn w:val="Normal"/>
    <w:pPr>
      <w:spacing w:after="60"/>
      <w:ind w:left="567" w:hanging="567"/>
      <w:jc w:val="left"/>
    </w:pPr>
    <w:rPr>
      <w:rFonts w:ascii="Times New Roman" w:cs="Times New Roman" w:eastAsia="Times New Roman" w:hAnsi="Times New Roman"/>
      <w:color w:val="000000"/>
      <w:sz w:val="21"/>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600" w:before="240" w:lineRule="auto"/>
      <w:jc w:val="center"/>
    </w:pPr>
    <w:rPr>
      <w:rFonts w:ascii="Times New Roman" w:cs="Times New Roman" w:eastAsia="Times New Roman" w:hAnsi="Times New Roman"/>
      <w:b w:val="1"/>
      <w:bCs w:val="1"/>
      <w:i w:val="1"/>
      <w:iCs w:val="1"/>
      <w:color w:val="000000"/>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z/MrKFttLTBZrXlFAugWBeiIC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2026-09-15T11:25:40Z</dcterms:created>
  <dc:creator>Project E3-SSE — Research Design and Protocol, Version 3.0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September 2026</vt:lpwstr>
  </property>
  <property fmtid="{D5CDD505-2E9C-101B-9397-08002B2CF9AE}" pid="3" name="subtitle">
    <vt:lpwstr>A Research Design for Training-Free Correction and False-Discovery-Controlled Screening of Li-Ion Solid Electrolytes with Foundation Interatomic Potentials</vt:lpwstr>
  </property>
</Properties>
</file>