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i w:val="0"/>
          <w:color w:val="39A900"/>
          <w:sz w:val="20"/>
        </w:rPr>
        <w:t>EVIDENCIA DE CONOCIMIENTO</w:t>
      </w:r>
    </w:p>
    <w:p>
      <w:pPr>
        <w:spacing w:before="560" w:after="200"/>
        <w:jc w:val="center"/>
      </w:pPr>
      <w:r>
        <w:rPr>
          <w:rFonts w:ascii="Arial" w:hAnsi="Arial"/>
          <w:b/>
          <w:i w:val="0"/>
          <w:color w:val="174C2C"/>
          <w:sz w:val="54"/>
        </w:rPr>
        <w:t>Bases teóricas de estructuras</w:t>
        <w:br/>
        <w:t>de almacenamiento en memoria</w:t>
      </w:r>
    </w:p>
    <w:p>
      <w:pPr>
        <w:jc w:val="center"/>
      </w:pPr>
      <w:r>
        <w:rPr>
          <w:rFonts w:ascii="Arial" w:hAnsi="Arial"/>
          <w:b/>
          <w:i w:val="0"/>
          <w:color w:val="5E6A62"/>
          <w:sz w:val="22"/>
        </w:rPr>
        <w:t>GA3-220501093-AA3-EV01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448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344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Programa</w:t>
            </w:r>
          </w:p>
        </w:tc>
        <w:tc>
          <w:tcPr>
            <w:tcW w:type="dxa" w:w="73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Análisis y Desarrollo de Software</w:t>
            </w:r>
          </w:p>
        </w:tc>
      </w:tr>
      <w:tr>
        <w:tc>
          <w:tcPr>
            <w:tcW w:type="dxa" w:w="24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Institución</w:t>
            </w:r>
          </w:p>
        </w:tc>
        <w:tc>
          <w:tcPr>
            <w:tcW w:type="dxa" w:w="734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Servicio Nacional de Aprendizaje SENA</w:t>
            </w:r>
          </w:p>
        </w:tc>
      </w:tr>
      <w:tr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Fase</w:t>
            </w:r>
          </w:p>
        </w:tc>
        <w:tc>
          <w:tcPr>
            <w:tcW w:type="dxa" w:w="73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Planeación</w:t>
            </w:r>
          </w:p>
        </w:tc>
      </w:tr>
      <w:tr>
        <w:tc>
          <w:tcPr>
            <w:tcW w:type="dxa" w:w="24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Naturaleza</w:t>
            </w:r>
          </w:p>
        </w:tc>
        <w:tc>
          <w:tcPr>
            <w:tcW w:type="dxa" w:w="734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8"/>
              </w:rPr>
              <w:t>Documento académico público</w:t>
            </w:r>
          </w:p>
        </w:tc>
      </w:tr>
    </w:tbl>
    <w:p>
      <w:pPr>
        <w:spacing w:after="0"/>
      </w:pPr>
    </w:p>
    <w:p>
      <w:pPr>
        <w:spacing w:before="240"/>
        <w:jc w:val="center"/>
      </w:pPr>
      <w:r>
        <w:rPr>
          <w:rFonts w:ascii="Arial" w:hAnsi="Arial"/>
          <w:b/>
          <w:i w:val="0"/>
          <w:color w:val="39A900"/>
          <w:sz w:val="19"/>
        </w:rPr>
        <w:t>VERSIÓN PÚBLICA SIN DATOS PERSONALES</w:t>
      </w:r>
    </w:p>
    <w:p>
      <w:pPr>
        <w:spacing w:before="360"/>
        <w:jc w:val="center"/>
      </w:pPr>
      <w:r>
        <w:rPr>
          <w:rFonts w:ascii="Arial" w:hAnsi="Arial"/>
          <w:b w:val="0"/>
          <w:i w:val="0"/>
          <w:color w:val="5E6A62"/>
          <w:sz w:val="20"/>
        </w:rPr>
        <w:t>Lenguajes · JavaScript · Tipos primitivos · Operadores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00 · PUNTO DE PARTIDA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Propósito y ruta de lectura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Los cinco indicadores se atienden de forma explícita y verificable.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DF7E9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39A900"/>
                <w:sz w:val="16"/>
              </w:rPr>
              <w:t>PROPÓSITO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Consolidar las bases necesarias para leer y escribir JavaScript con criterio: comprender cómo se ejecuta un lenguaje, qué caracteriza a ECMAScript, cómo se representan los valores simples y cómo los operadores transforman esos valores.</w:t>
            </w:r>
          </w:p>
        </w:tc>
      </w:tr>
    </w:tbl>
    <w:p>
      <w:pPr>
        <w:spacing w:after="0"/>
      </w:pPr>
    </w:p>
    <w:p>
      <w:pPr>
        <w:spacing w:before="80" w:after="60"/>
      </w:pPr>
      <w:r>
        <w:rPr>
          <w:rFonts w:ascii="Arial" w:hAnsi="Arial"/>
          <w:b/>
          <w:i w:val="0"/>
          <w:color w:val="174C2C"/>
          <w:sz w:val="24"/>
        </w:rPr>
        <w:t>Objetivos específicos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Comparar compilación e interpretación sin presentar categorías absolutas.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Distinguir el lenguaje JavaScript del motor y de las API ofrecidas por cada entorno.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Reconocer los siete primitivos vigentes y seleccionar su uso de acuerdo con el dato.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Aplicar operadores atendiendo a precedencia, coerción y evaluación por cortocircuito.</w:t>
      </w:r>
    </w:p>
    <w:p>
      <w:pPr>
        <w:spacing w:before="80" w:after="60"/>
      </w:pPr>
      <w:r>
        <w:rPr>
          <w:rFonts w:ascii="Arial" w:hAnsi="Arial"/>
          <w:b/>
          <w:i w:val="0"/>
          <w:color w:val="174C2C"/>
          <w:sz w:val="24"/>
        </w:rPr>
        <w:t>Ruta del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152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CAPÍTULO</w:t>
            </w:r>
          </w:p>
        </w:tc>
        <w:tc>
          <w:tcPr>
            <w:tcW w:type="dxa" w:w="5616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PREGUNTA QUE RESUELVE</w:t>
            </w:r>
          </w:p>
        </w:tc>
        <w:tc>
          <w:tcPr>
            <w:tcW w:type="dxa" w:w="3024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APOYO VISUAL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1</w:t>
            </w:r>
          </w:p>
        </w:tc>
        <w:tc>
          <w:tcPr>
            <w:tcW w:type="dxa" w:w="56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¿Cómo llega el código fuente a ejecutarse?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Dos canales de ejecución.</w:t>
            </w:r>
          </w:p>
        </w:tc>
      </w:tr>
      <w:tr>
        <w:tc>
          <w:tcPr>
            <w:tcW w:type="dxa" w:w="115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2</w:t>
            </w:r>
          </w:p>
        </w:tc>
        <w:tc>
          <w:tcPr>
            <w:tcW w:type="dxa" w:w="5616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¿Qué hace distintivo a JavaScript?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Capas lenguaje–motor–entorno.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3</w:t>
            </w:r>
          </w:p>
        </w:tc>
        <w:tc>
          <w:tcPr>
            <w:tcW w:type="dxa" w:w="56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¿Qué valores primitivos existen y para qué sirven?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Mapa de siete tipos.</w:t>
            </w:r>
          </w:p>
        </w:tc>
      </w:tr>
      <w:tr>
        <w:tc>
          <w:tcPr>
            <w:tcW w:type="dxa" w:w="115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4</w:t>
            </w:r>
          </w:p>
        </w:tc>
        <w:tc>
          <w:tcPr>
            <w:tcW w:type="dxa" w:w="5616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¿Cómo se forman y evalúan expresiones?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Escalera de precedencia.</w:t>
            </w:r>
          </w:p>
        </w:tc>
      </w:tr>
    </w:tbl>
    <w:p>
      <w:pPr>
        <w:spacing w:after="0"/>
      </w:pP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8"/>
        </w:rPr>
        <w:t>Método: síntesis comparativa de la guía SENA [1], la especificación ECMA-262 [2], MDN [3–6] y la documentación del motor V8 [7]. Las figuras son elaboración propia y declaran su base conceptual.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01 · ESTRATEGIAS DE EJECUCIÓN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Lenguajes compilados e interpretados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La diferencia principal está en cuándo y cómo se traduce el programa.</w:t>
      </w: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9"/>
        </w:rPr>
        <w:t>Compilar significa transformar un programa a otro formato antes o durante su ejecución. En un flujo AOT (ahead of time), la traducción suele producir un archivo ejecutable antes de iniciar el programa. Interpretar significa que un programa intermediario analiza y ejecuta instrucciones durante la marcha. Son estrategias de implementación: un lenguaje no queda obligado para siempre a una sola de ellas [5].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656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ASPECTO</w:t>
            </w:r>
          </w:p>
        </w:tc>
        <w:tc>
          <w:tcPr>
            <w:tcW w:type="dxa" w:w="4104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COMPILACIÓN AOT</w:t>
            </w:r>
          </w:p>
        </w:tc>
        <w:tc>
          <w:tcPr>
            <w:tcW w:type="dxa" w:w="4104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Momento</w:t>
            </w:r>
          </w:p>
        </w:tc>
        <w:tc>
          <w:tcPr>
            <w:tcW w:type="dxa" w:w="41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Traducción previa a la ejecución.</w:t>
            </w:r>
          </w:p>
        </w:tc>
        <w:tc>
          <w:tcPr>
            <w:tcW w:type="dxa" w:w="41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Análisis y ejecución durante el uso.</w:t>
            </w:r>
          </w:p>
        </w:tc>
      </w:tr>
      <w:tr>
        <w:tc>
          <w:tcPr>
            <w:tcW w:type="dxa" w:w="1656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Producto</w:t>
            </w:r>
          </w:p>
        </w:tc>
        <w:tc>
          <w:tcPr>
            <w:tcW w:type="dxa" w:w="410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Puede generar binario o código objeto.</w:t>
            </w:r>
          </w:p>
        </w:tc>
        <w:tc>
          <w:tcPr>
            <w:tcW w:type="dxa" w:w="410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Normalmente conserva el fuente y usa un intérprete.</w:t>
            </w:r>
          </w:p>
        </w:tc>
      </w:tr>
      <w:t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Errores</w:t>
            </w:r>
          </w:p>
        </w:tc>
        <w:tc>
          <w:tcPr>
            <w:tcW w:type="dxa" w:w="41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Muchos se detectan al compilar.</w:t>
            </w:r>
          </w:p>
        </w:tc>
        <w:tc>
          <w:tcPr>
            <w:tcW w:type="dxa" w:w="41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Algunos aparecen al alcanzar la instrucción.</w:t>
            </w:r>
          </w:p>
        </w:tc>
      </w:tr>
      <w:tr>
        <w:tc>
          <w:tcPr>
            <w:tcW w:type="dxa" w:w="1656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Inicio</w:t>
            </w:r>
          </w:p>
        </w:tc>
        <w:tc>
          <w:tcPr>
            <w:tcW w:type="dxa" w:w="410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Requiere una fase previa de construcción.</w:t>
            </w:r>
          </w:p>
        </w:tc>
        <w:tc>
          <w:tcPr>
            <w:tcW w:type="dxa" w:w="410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Puede iniciar sin crear un ejecutable independiente.</w:t>
            </w:r>
          </w:p>
        </w:tc>
      </w:tr>
      <w:t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Rendimiento</w:t>
            </w:r>
          </w:p>
        </w:tc>
        <w:tc>
          <w:tcPr>
            <w:tcW w:type="dxa" w:w="41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El ejecutable ya está traducido.</w:t>
            </w:r>
          </w:p>
        </w:tc>
        <w:tc>
          <w:tcPr>
            <w:tcW w:type="dxa" w:w="41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La traducción añade trabajo en tiempo de ejecución.</w:t>
            </w:r>
          </w:p>
        </w:tc>
      </w:tr>
      <w:tr>
        <w:tc>
          <w:tcPr>
            <w:tcW w:type="dxa" w:w="1656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Portabilidad</w:t>
            </w:r>
          </w:p>
        </w:tc>
        <w:tc>
          <w:tcPr>
            <w:tcW w:type="dxa" w:w="410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El binario depende del destino.</w:t>
            </w:r>
          </w:p>
        </w:tc>
        <w:tc>
          <w:tcPr>
            <w:tcW w:type="dxa" w:w="410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6"/>
              </w:rPr>
              <w:t>El fuente viaja si existe un entorno compatible.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4D6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D09A24"/>
                <w:sz w:val="16"/>
              </w:rPr>
              <w:t>CONCLUSIÓN COMPARATIVA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Compilado no significa automáticamente mejor, ni interpretado significa necesariamente lento. Importan el motor, la optimización, la carga de trabajo y el momento en que se realiza la traducción.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01 · ESTRATEGIAS DE EJECUCIÓN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El caso real de JavaScript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Los motores modernos combinan intérprete y compilador JIT.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strategias_ejecu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5E6A62"/>
          <w:sz w:val="16"/>
        </w:rPr>
        <w:t>Figura 1. Estrategias de ejecución. Elaboración propia con base en MDN [5] y V8 [7].</w:t>
      </w: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9"/>
        </w:rPr>
        <w:t>ECMAScript especifica la sintaxis y los resultados observables, pero no obliga a una arquitectura interna. En V8, el código pasa por análisis y bytecode, se ejecuta con Ignition y las partes usadas con frecuencia pueden optimizarse con TurboFan. Por eso es más preciso afirmar que JavaScript suele ejecutarse mediante una combinación de interpretación y compilación JIT [7].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AF3F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4F8397"/>
                <w:sz w:val="16"/>
              </w:rPr>
              <w:t>AOT FRENTE A JIT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AOT traduce antes de iniciar; JIT compila durante la ejecución usando información real del programa. Una misma aplicación puede recorrer bytecode y código nativo optimizado.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02 · LENGUAJE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Características principales de JavaScript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JavaScript está estandarizado mediante la especificación ECMAScript.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944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CARACTERÍSTICA</w:t>
            </w:r>
          </w:p>
        </w:tc>
        <w:tc>
          <w:tcPr>
            <w:tcW w:type="dxa" w:w="3960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SIGNIFICADO</w:t>
            </w:r>
          </w:p>
        </w:tc>
        <w:tc>
          <w:tcPr>
            <w:tcW w:type="dxa" w:w="3960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IMPLICACIÓN</w:t>
            </w:r>
          </w:p>
        </w:tc>
      </w:tr>
      <w:tr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Estandarizado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ECMA-262 define la semántica.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Los motores comparten una base común.</w:t>
            </w:r>
          </w:p>
        </w:tc>
      </w:tr>
      <w:tr>
        <w:tc>
          <w:tcPr>
            <w:tcW w:type="dxa" w:w="194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Dinámico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La variable no queda unida a un tipo.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El tipo pertenece al valor y puede cambiar.</w:t>
            </w:r>
          </w:p>
        </w:tc>
      </w:tr>
      <w:tr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Coerción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Admite conversiones implícitas.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Conviene controlar comparaciones y entradas.</w:t>
            </w:r>
          </w:p>
        </w:tc>
      </w:tr>
      <w:tr>
        <w:tc>
          <w:tcPr>
            <w:tcW w:type="dxa" w:w="194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Multiparadigma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Combina estilos imperativo, funcional y orientado a objetos.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Permite escoger una solución adecuada al problema.</w:t>
            </w:r>
          </w:p>
        </w:tc>
      </w:tr>
      <w:tr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Prototipos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Los objetos delegan mediante cadenas de prototipos.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La herencia no depende solo de clases.</w:t>
            </w:r>
          </w:p>
        </w:tc>
      </w:tr>
      <w:tr>
        <w:tc>
          <w:tcPr>
            <w:tcW w:type="dxa" w:w="194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Primera clase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Las funciones son valores invocables.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Pueden pasarse, retornarse y almacenarse.</w:t>
            </w:r>
          </w:p>
        </w:tc>
      </w:tr>
      <w:tr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Memoria automática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El motor recupera objetos no alcanzables.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No se libera memoria manualmente.</w:t>
            </w:r>
          </w:p>
        </w:tc>
      </w:tr>
      <w:tr>
        <w:tc>
          <w:tcPr>
            <w:tcW w:type="dxa" w:w="194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Portable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Funciona en distintos anfitriones.</w:t>
            </w:r>
          </w:p>
        </w:tc>
        <w:tc>
          <w:tcPr>
            <w:tcW w:type="dxa" w:w="396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La API disponible depende del entorno.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4D6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D09A24"/>
                <w:sz w:val="16"/>
              </w:rPr>
              <w:t>PRECISIÓN TERMINOLÓGICA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JavaScript es el lenguaje; ECMAScript es su especificación; V8, SpiderMonkey o JavaScriptCore son motores; navegador y Node.js son entornos que añaden API.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02 · LENGUAJE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Tres capas que conviene separar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Esta distinción evita atribuir al lenguaje funciones que pertenecen al entorno.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pas_javascrip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5E6A62"/>
          <w:sz w:val="16"/>
        </w:rPr>
        <w:t>Figura 2. Capas de una ejecución JavaScript. Elaboración propia con base en ECMA-262 [2] y MDN [3].</w:t>
      </w: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9"/>
        </w:rPr>
        <w:t>El núcleo ECMAScript aporta valores, operadores, control, objetos, funciones, clases y módulos. El motor materializa esas reglas y se ocupa de ejecutar y optimizar. El anfitrión agrega capacidades: un navegador ofrece el DOM y eventos; un entorno de servidor puede ofrecer sistema de archivos o red. Esas API no forman parte del lenguaje [2, 3].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4F6F4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/>
                <w:color w:val="0E3322"/>
                <w:sz w:val="16"/>
              </w:rPr>
              <w:t>const duplicar = (valor) =&gt; valor * 2;</w:t>
              <w:br/>
              <w:t>const operaciones = [duplicar];</w:t>
              <w:br/>
              <w:t>console.log(operaciones[0](21)); // 42</w:t>
            </w:r>
          </w:p>
        </w:tc>
      </w:tr>
    </w:tbl>
    <w:p>
      <w:pPr>
        <w:spacing w:after="0"/>
      </w:pP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8"/>
        </w:rPr>
        <w:t>El ejemplo muestra una función como valor: se guarda dentro de un arreglo y después se invoca. Esa propiedad sustenta callbacks, composición y gran parte de la programación asíncrona.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03 · VALORES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Tipos de datos primitivos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ECMA-262 define siete tipos primitivos y Object como categoría separada.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1440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2448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EJEMPLO</w:t>
            </w:r>
          </w:p>
        </w:tc>
        <w:tc>
          <w:tcPr>
            <w:tcW w:type="dxa" w:w="4392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USO HABITUAL</w:t>
            </w:r>
          </w:p>
        </w:tc>
        <w:tc>
          <w:tcPr>
            <w:tcW w:type="dxa" w:w="1512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typeof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String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"Bogotá"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Texto, etiquetas y entradas.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"string"</w:t>
            </w:r>
          </w:p>
        </w:tc>
      </w:tr>
      <w:tr>
        <w:tc>
          <w:tcPr>
            <w:tcW w:type="dxa" w:w="144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Number</w:t>
            </w:r>
          </w:p>
        </w:tc>
        <w:tc>
          <w:tcPr>
            <w:tcW w:type="dxa" w:w="24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42; 3.14; NaN</w:t>
            </w:r>
          </w:p>
        </w:tc>
        <w:tc>
          <w:tcPr>
            <w:tcW w:type="dxa" w:w="439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Cálculo general con enteros o decimales.</w:t>
            </w:r>
          </w:p>
        </w:tc>
        <w:tc>
          <w:tcPr>
            <w:tcW w:type="dxa" w:w="15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"number"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9007199254740993n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Enteros fuera del rango seguro de Number.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"bigint"</w:t>
            </w:r>
          </w:p>
        </w:tc>
      </w:tr>
      <w:tr>
        <w:tc>
          <w:tcPr>
            <w:tcW w:type="dxa" w:w="144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Boolean</w:t>
            </w:r>
          </w:p>
        </w:tc>
        <w:tc>
          <w:tcPr>
            <w:tcW w:type="dxa" w:w="24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true; false</w:t>
            </w:r>
          </w:p>
        </w:tc>
        <w:tc>
          <w:tcPr>
            <w:tcW w:type="dxa" w:w="439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Decisiones y estados lógicos.</w:t>
            </w:r>
          </w:p>
        </w:tc>
        <w:tc>
          <w:tcPr>
            <w:tcW w:type="dxa" w:w="15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"boolean"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Undefined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let dato;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Ausencia de asignación o retorno.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"undefined"</w:t>
            </w:r>
          </w:p>
        </w:tc>
      </w:tr>
      <w:tr>
        <w:tc>
          <w:tcPr>
            <w:tcW w:type="dxa" w:w="144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Symbol</w:t>
            </w:r>
          </w:p>
        </w:tc>
        <w:tc>
          <w:tcPr>
            <w:tcW w:type="dxa" w:w="24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Symbol("clave")</w:t>
            </w:r>
          </w:p>
        </w:tc>
        <w:tc>
          <w:tcPr>
            <w:tcW w:type="dxa" w:w="439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Identificadores únicos de propiedades.</w:t>
            </w:r>
          </w:p>
        </w:tc>
        <w:tc>
          <w:tcPr>
            <w:tcW w:type="dxa" w:w="15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"symbol"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Null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null</w:t>
            </w:r>
          </w:p>
        </w:tc>
        <w:tc>
          <w:tcPr>
            <w:tcW w:type="dxa" w:w="43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Ausencia intencional de un valor de objeto.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"object"*</w:t>
            </w:r>
          </w:p>
        </w:tc>
      </w:tr>
    </w:tbl>
    <w:p>
      <w:pPr>
        <w:spacing w:after="0"/>
      </w:pP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9"/>
        </w:rPr>
        <w:t>Un primitivo es inmutable: la operación crea otro valor en vez de modificar el existente. La variable sí puede reasignarse. Arreglos, funciones, fechas y objetos pertenecen a Object, por lo que no deben sumarse como un octavo primitivo [2, 4].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AF3F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4F8397"/>
                <w:sz w:val="16"/>
              </w:rPr>
              <w:t>BIGINT Y NUMBER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No deben mezclarse directamente en aritmética. BigInt conserva enteros arbitrariamente grandes, pero no representa fracciones. Number usa punto flotante y tiene límites de precisión.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03 · VALORES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Uso, detección y dos excepciones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El tipo correcto comunica intención y evita conversiones inesperadas.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ipos_primitiv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5E6A62"/>
          <w:sz w:val="16"/>
        </w:rPr>
        <w:t>Figura 3. Mapa de tipos primitivos. Elaboración propia con base en ECMA-262 [2] y MDN [4].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4F6F4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/>
                <w:color w:val="0E3322"/>
                <w:sz w:val="16"/>
              </w:rPr>
              <w:t>const titulo = "Informe";          // String</w:t>
              <w:br/>
              <w:t>const paginas = 12;                 // Number</w:t>
              <w:br/>
              <w:t>const publicado = true;             // Boolean</w:t>
              <w:br/>
              <w:t>let observacion;                     // Undefined</w:t>
              <w:br/>
              <w:t>const seleccion = null;              // Null</w:t>
              <w:br/>
              <w:t>const clave = Symbol("registro");    // Symbol</w:t>
            </w:r>
          </w:p>
        </w:tc>
      </w:tr>
    </w:tbl>
    <w:p>
      <w:pPr>
        <w:spacing w:after="0"/>
      </w:pP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7"/>
        </w:rPr>
        <w:t>`typeof null` devuelve `"object"` por compatibilidad histórica; la comprobación segura es `valor === null`.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7"/>
        </w:rPr>
        <w:t>NaN pertenece al tipo Number, pero representa un resultado numérico inválido; se detecta con Number.isNaN(valor).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7"/>
        </w:rPr>
        <w:t>Una propiedad inexistente suele producir undefined; null suele expresar una ausencia decidida por el programa.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04 · EXPRESIONES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Operadores en JavaScript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Un operador recibe operandos y produce un valor o un efecto.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800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FAMILIA</w:t>
            </w:r>
          </w:p>
        </w:tc>
        <w:tc>
          <w:tcPr>
            <w:tcW w:type="dxa" w:w="3024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OPERADORES</w:t>
            </w:r>
          </w:p>
        </w:tc>
        <w:tc>
          <w:tcPr>
            <w:tcW w:type="dxa" w:w="5112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EJEMPLO Y RESULTADO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Aritméticos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+  −  *  /  %  **</w:t>
            </w:r>
          </w:p>
        </w:tc>
        <w:tc>
          <w:tcPr>
            <w:tcW w:type="dxa" w:w="51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2 ** 3 → 8</w:t>
            </w:r>
          </w:p>
        </w:tc>
      </w:tr>
      <w:tr>
        <w:tc>
          <w:tcPr>
            <w:tcW w:type="dxa" w:w="180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Asignación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=  +=  -=  *=  ??=</w:t>
            </w:r>
          </w:p>
        </w:tc>
        <w:tc>
          <w:tcPr>
            <w:tcW w:type="dxa" w:w="51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total += 5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Comparación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&lt;  &gt;  &lt;=  &gt;=</w:t>
            </w:r>
          </w:p>
        </w:tc>
        <w:tc>
          <w:tcPr>
            <w:tcW w:type="dxa" w:w="51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edad &gt;= 18 → booleano</w:t>
            </w:r>
          </w:p>
        </w:tc>
      </w:tr>
      <w:tr>
        <w:tc>
          <w:tcPr>
            <w:tcW w:type="dxa" w:w="180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Igualdad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===  !==  ==  !=</w:t>
            </w:r>
          </w:p>
        </w:tc>
        <w:tc>
          <w:tcPr>
            <w:tcW w:type="dxa" w:w="51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5 === "5" → false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Lógicos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&amp;&amp;  ||  !</w:t>
            </w:r>
          </w:p>
        </w:tc>
        <w:tc>
          <w:tcPr>
            <w:tcW w:type="dxa" w:w="51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activo &amp;&amp; autorizado</w:t>
            </w:r>
          </w:p>
        </w:tc>
      </w:tr>
      <w:tr>
        <w:tc>
          <w:tcPr>
            <w:tcW w:type="dxa" w:w="180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Fusión nula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??</w:t>
            </w:r>
          </w:p>
        </w:tc>
        <w:tc>
          <w:tcPr>
            <w:tcW w:type="dxa" w:w="51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nombre ?? "Sin dato"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Condicional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? :</w:t>
            </w:r>
          </w:p>
        </w:tc>
        <w:tc>
          <w:tcPr>
            <w:tcW w:type="dxa" w:w="51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mayor ? "Sí" : "No"</w:t>
            </w:r>
          </w:p>
        </w:tc>
      </w:tr>
      <w:tr>
        <w:tc>
          <w:tcPr>
            <w:tcW w:type="dxa" w:w="180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Unarios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typeof  delete  void  ++</w:t>
            </w:r>
          </w:p>
        </w:tc>
        <w:tc>
          <w:tcPr>
            <w:tcW w:type="dxa" w:w="51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typeof 42 → number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Relacionales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in  instanceof</w:t>
            </w:r>
          </w:p>
        </w:tc>
        <w:tc>
          <w:tcPr>
            <w:tcW w:type="dxa" w:w="51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"id" in objeto</w:t>
            </w:r>
          </w:p>
        </w:tc>
      </w:tr>
      <w:tr>
        <w:tc>
          <w:tcPr>
            <w:tcW w:type="dxa" w:w="180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Bit a bit</w:t>
            </w:r>
          </w:p>
        </w:tc>
        <w:tc>
          <w:tcPr>
            <w:tcW w:type="dxa" w:w="3024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&amp;  |  ^  ~  &lt;&lt;  &gt;&gt;  &gt;&gt;&gt;</w:t>
            </w:r>
          </w:p>
        </w:tc>
        <w:tc>
          <w:tcPr>
            <w:tcW w:type="dxa" w:w="51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5 &amp; 1 → 1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4D6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D09A24"/>
                <w:sz w:val="16"/>
              </w:rPr>
              <w:t>IGUALDAD ESTRICTA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`===` y `!==` comparan sin convertir tipos y suelen expresar mejor la intención. La igualdad flexible puede ser válida, pero exige conocer con precisión sus reglas de coerción [6].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04 · EXPRESIONES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Precedencia, coerción y cortocircuito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Los paréntesis y la igualdad estricta vuelven el resultado más predecible.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peradores_preced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5E6A62"/>
          <w:sz w:val="16"/>
        </w:rPr>
        <w:t>Figura 4. Orden de evaluación. Elaboración propia con base en MDN [6].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4F6F4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/>
                <w:color w:val="0E3322"/>
                <w:sz w:val="16"/>
              </w:rPr>
              <w:t>const subtotal = 85000;</w:t>
              <w:br/>
              <w:t>const descuento = subtotal &gt; 50000 ? subtotal * 0.20 : 0;</w:t>
              <w:br/>
              <w:t>const total = subtotal - descuento;       // 68000</w:t>
              <w:br/>
              <w:br/>
              <w:t>const alias = null;</w:t>
              <w:br/>
              <w:t>const etiqueta = alias ?? "Sin registrar";</w:t>
            </w:r>
          </w:p>
        </w:tc>
      </w:tr>
    </w:tbl>
    <w:p>
      <w:pPr>
        <w:spacing w:after="0"/>
      </w:pP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7"/>
        </w:rPr>
        <w:t>La multiplicación se evalúa antes que la suma; los paréntesis pueden cambiar o aclarar ese orden.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7"/>
        </w:rPr>
        <w:t>`"5" + 2` produce `"52"`; `Number("5") + 2` produce `7`. La conversión explícita comunica la intención.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7"/>
        </w:rPr>
        <w:t>`&amp;&amp;`, `||` y `??` usan cortocircuito: el segundo operando se evalúa solo cuando la regla lo necesita.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05 · CIERRE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Conclusiones y matriz de cumplimiento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El conocimiento conceptual se traduce en decisiones de código más seguras.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Compilación e interpretación son estrategias combinables; JavaScript moderno usa ejecución adaptativa.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La especificación, el motor y el entorno son capas distintas y complementarias.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Los siete primitivos representan valores simples e inmutables; Object agrupa las estructuras compuestas.</w:t>
      </w:r>
    </w:p>
    <w:p>
      <w:pPr>
        <w:pStyle w:val="ListBullet"/>
        <w:spacing w:after="60" w:line="252" w:lineRule="auto"/>
        <w:ind w:left="317" w:hanging="173"/>
      </w:pPr>
      <w:r>
        <w:rPr>
          <w:rFonts w:ascii="Arial" w:hAnsi="Arial"/>
          <w:b w:val="0"/>
          <w:i w:val="0"/>
          <w:color w:val="18221B"/>
          <w:sz w:val="18"/>
        </w:rPr>
        <w:t>Los operadores requieren considerar tipo, precedencia, coerción y cortocircuito.</w:t>
      </w:r>
    </w:p>
    <w:p>
      <w:pPr>
        <w:spacing w:before="80" w:after="60"/>
      </w:pPr>
      <w:r>
        <w:rPr>
          <w:rFonts w:ascii="Arial" w:hAnsi="Arial"/>
          <w:b/>
          <w:i w:val="0"/>
          <w:color w:val="174C2C"/>
          <w:sz w:val="24"/>
        </w:rPr>
        <w:t>Cobertura de la lista de chequeo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648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N.º</w:t>
            </w:r>
          </w:p>
        </w:tc>
        <w:tc>
          <w:tcPr>
            <w:tcW w:type="dxa" w:w="3312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INDICADOR</w:t>
            </w:r>
          </w:p>
        </w:tc>
        <w:tc>
          <w:tcPr>
            <w:tcW w:type="dxa" w:w="4680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EVIDENCIA</w:t>
            </w:r>
          </w:p>
        </w:tc>
        <w:tc>
          <w:tcPr>
            <w:tcW w:type="dxa" w:w="1152"/>
            <w:shd w:fill="174C2C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ESTADO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1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Compilados e interpretados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Páginas 3–4, tabla y figura 1.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Cumple</w:t>
            </w:r>
          </w:p>
        </w:tc>
      </w:tr>
      <w:tr>
        <w:tc>
          <w:tcPr>
            <w:tcW w:type="dxa" w:w="6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2</w:t>
            </w:r>
          </w:p>
        </w:tc>
        <w:tc>
          <w:tcPr>
            <w:tcW w:type="dxa" w:w="33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Características de JavaScript</w:t>
            </w:r>
          </w:p>
        </w:tc>
        <w:tc>
          <w:tcPr>
            <w:tcW w:type="dxa" w:w="468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Páginas 5–6, tabla, figura 2 y código.</w:t>
            </w:r>
          </w:p>
        </w:tc>
        <w:tc>
          <w:tcPr>
            <w:tcW w:type="dxa" w:w="115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Cumple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3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Tipos primitivos y uso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Páginas 7–8, tabla, figura 3 y ejemplos.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Cumple</w:t>
            </w:r>
          </w:p>
        </w:tc>
      </w:tr>
      <w:tr>
        <w:tc>
          <w:tcPr>
            <w:tcW w:type="dxa" w:w="648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4</w:t>
            </w:r>
          </w:p>
        </w:tc>
        <w:tc>
          <w:tcPr>
            <w:tcW w:type="dxa" w:w="331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Operadores</w:t>
            </w:r>
          </w:p>
        </w:tc>
        <w:tc>
          <w:tcPr>
            <w:tcW w:type="dxa" w:w="4680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Páginas 9–10, tabla, figura 4 y ejemplos.</w:t>
            </w:r>
          </w:p>
        </w:tc>
        <w:tc>
          <w:tcPr>
            <w:tcW w:type="dxa" w:w="1152"/>
            <w:shd w:fill="F7FA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Cumple</w:t>
            </w:r>
          </w:p>
        </w:tc>
      </w:tr>
      <w:tr>
        <w:tc>
          <w:tcPr>
            <w:tcW w:type="dxa" w:w="6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5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Imágenes y fuentes</w:t>
            </w:r>
          </w:p>
        </w:tc>
        <w:tc>
          <w:tcPr>
            <w:tcW w:type="dxa" w:w="46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Cuatro figuras propias y referencias numeradas.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21B"/>
                <w:sz w:val="15"/>
              </w:rPr>
              <w:t>Cumple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DF7E9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39A900"/>
                <w:sz w:val="16"/>
              </w:rPr>
              <w:t>RESULTADO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Los cinco indicadores tienen evidencia directa. El documento evita extender el alcance hacia los ejercicios de programación que corresponden a la evidencia posterior.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39A900"/>
          <w:sz w:val="17"/>
        </w:rPr>
        <w:t>06 · FUENTES</w:t>
      </w:r>
    </w:p>
    <w:p>
      <w:pPr>
        <w:spacing w:after="40"/>
      </w:pPr>
      <w:r>
        <w:rPr>
          <w:rFonts w:ascii="Arial" w:hAnsi="Arial"/>
          <w:b/>
          <w:i w:val="0"/>
          <w:color w:val="174C2C"/>
          <w:sz w:val="46"/>
        </w:rPr>
        <w:t>Referencias</w:t>
      </w:r>
    </w:p>
    <w:p>
      <w:pPr>
        <w:spacing w:after="160"/>
      </w:pPr>
      <w:r>
        <w:rPr>
          <w:rFonts w:ascii="Arial" w:hAnsi="Arial"/>
          <w:b w:val="0"/>
          <w:i/>
          <w:color w:val="5E6A62"/>
          <w:sz w:val="18"/>
        </w:rPr>
        <w:t>Consultadas el 16 de agosto de 2026. Enlaces directos a la fuente utilizada.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[1] Servicio Nacional de Aprendizaje SENA. (s. f.). Guía de aprendizaje: fase de planeación, actividad GA3-220501093-AA3, pp. 8–9. https://archivos.territorio.la/archivos/clases/Guianaprendizajen3___58631be32843215___.pdf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[2] Ecma International. (2026). ECMAScript Language Specification (ECMA-262). https://tc39.es/ecma262/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[3] MDN Web Docs. (2025). JavaScript language overview. https://developer.mozilla.org/en-US/docs/Web/JavaScript/Guide/Language_overview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[4] MDN Web Docs. (2025). JavaScript data types and data structures. https://developer.mozilla.org/en-US/docs/Web/JavaScript/Guide/Data_structures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[5] MDN Web Docs. (2025). Compile. https://developer.mozilla.org/en-US/docs/Glossary/Compile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[6] MDN Web Docs. (2025). Expressions and operators. https://developer.mozilla.org/en-US/docs/Web/JavaScript/Guide/Expressions_and_operators</w:t>
      </w:r>
    </w:p>
    <w:p>
      <w:pPr>
        <w:spacing w:after="140" w:line="252" w:lineRule="auto"/>
        <w:ind w:left="346" w:hanging="346"/>
      </w:pPr>
      <w:r>
        <w:rPr>
          <w:rFonts w:ascii="Arial" w:hAnsi="Arial"/>
          <w:b w:val="0"/>
          <w:i w:val="0"/>
          <w:color w:val="18221B"/>
          <w:sz w:val="17"/>
        </w:rPr>
        <w:t>[7] V8 Project. (2017). Launching Ignition and TurboFan. https://v8.dev/blog/launching-ignition-and-turbofan</w:t>
      </w:r>
    </w:p>
    <w:p>
      <w:pPr>
        <w:spacing w:before="80" w:after="60"/>
      </w:pPr>
      <w:r>
        <w:rPr>
          <w:rFonts w:ascii="Arial" w:hAnsi="Arial"/>
          <w:b/>
          <w:i w:val="0"/>
          <w:color w:val="174C2C"/>
          <w:sz w:val="24"/>
        </w:rPr>
        <w:t>Procedencia de las ilustraciones</w:t>
      </w:r>
    </w:p>
    <w:p>
      <w:pPr>
        <w:spacing w:line="264" w:lineRule="auto" w:after="120"/>
        <w:jc w:val="both"/>
      </w:pPr>
      <w:r>
        <w:rPr>
          <w:rFonts w:ascii="Arial" w:hAnsi="Arial"/>
          <w:b w:val="0"/>
          <w:i w:val="0"/>
          <w:color w:val="18221B"/>
          <w:sz w:val="18"/>
        </w:rPr>
        <w:t>Las figuras 1–4 son elaboración propia generada específicamente para esta evidencia. No contienen imágenes, logotipos ni capturas de terceros. Sus pies señalan las fuentes conceptuales que sustentan cada representación.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AF3F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4F8397"/>
                <w:sz w:val="16"/>
              </w:rPr>
              <w:t>CONTROL DE VERSIÓN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8221B"/>
                <w:sz w:val="18"/>
              </w:rPr>
              <w:t>La edición pública y la entrega personalizada local comparten exactamente este desarrollo académico. Únicamente cambian la portada y los metadatos del documento.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979" w:bottom="792" w:left="979" w:header="317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/>
        <w:b/>
        <w:color w:val="174C2C"/>
        <w:sz w:val="16"/>
      </w:rPr>
      <w:t>SENA · EVIDENCIA DE CONOCIMIENTO</w:t>
    </w:r>
    <w:r>
      <w:rPr>
        <w:rFonts w:ascii="Arial" w:hAnsi="Arial"/>
        <w:b/>
        <w:color w:val="174C2C"/>
        <w:sz w:val="16"/>
      </w:rPr>
      <w:t xml:space="preserve">                                                        GA3-220501093-AA3-EV01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teóricas de estructuras de almacenamiento en memoria</dc:title>
  <dc:subject>GA3-220501093-AA3-EV01</dc:subject>
  <dc:creator>Entrega académica pública</dc:creator>
  <cp:keywords>JavaScript, ECMAScript, tipos primitivos, operadores</cp:keywords>
  <dc:description>generated by python-docx</dc:description>
  <cp:lastModifiedBy>Entrega académica pública</cp:lastModifiedBy>
  <cp:revision>1</cp:revision>
  <dcterms:created xsi:type="dcterms:W3CDTF">2013-12-23T23:15:00Z</dcterms:created>
  <dcterms:modified xsi:type="dcterms:W3CDTF">2013-12-23T23:15:00Z</dcterms:modified>
  <cp:category/>
</cp:coreProperties>
</file>