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i w:val="0"/>
          <w:color w:val="39A900"/>
          <w:sz w:val="20"/>
        </w:rPr>
        <w:t>EVIDENCIA DE CONOCIMIENTO</w:t>
      </w:r>
    </w:p>
    <w:p>
      <w:pPr>
        <w:spacing w:before="560" w:after="200"/>
        <w:jc w:val="center"/>
      </w:pPr>
      <w:r>
        <w:rPr>
          <w:rFonts w:ascii="Arial" w:hAnsi="Arial"/>
          <w:b/>
          <w:i w:val="0"/>
          <w:color w:val="174C2C"/>
          <w:sz w:val="54"/>
        </w:rPr>
        <w:t>Bases teóricas de estructuras</w:t>
        <w:br/>
        <w:t>de almacenamiento en memoria</w:t>
      </w:r>
    </w:p>
    <w:p>
      <w:pPr>
        <w:jc w:val="center"/>
      </w:pPr>
      <w:r>
        <w:rPr>
          <w:rFonts w:ascii="Arial" w:hAnsi="Arial"/>
          <w:b/>
          <w:i w:val="0"/>
          <w:color w:val="5E6A62"/>
          <w:sz w:val="22"/>
        </w:rPr>
        <w:t>GA3-220501093-AA3-EV01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448"/>
            <w:shd w:fill="174C2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344"/>
            <w:shd w:fill="174C2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8"/>
              </w:rPr>
              <w:t>Programa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8"/>
              </w:rPr>
              <w:t>Análisis y Desarrollo de Software</w:t>
            </w:r>
          </w:p>
        </w:tc>
      </w:tr>
      <w:tr>
        <w:tc>
          <w:tcPr>
            <w:tcW w:type="dxa" w:w="2448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8"/>
              </w:rPr>
              <w:t>Institución</w:t>
            </w:r>
          </w:p>
        </w:tc>
        <w:tc>
          <w:tcPr>
            <w:tcW w:type="dxa" w:w="7344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8"/>
              </w:rPr>
              <w:t>Servicio Nacional de Aprendizaje SENA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8"/>
              </w:rPr>
              <w:t>Fase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8"/>
              </w:rPr>
              <w:t>Planeación</w:t>
            </w:r>
          </w:p>
        </w:tc>
      </w:tr>
      <w:tr>
        <w:tc>
          <w:tcPr>
            <w:tcW w:type="dxa" w:w="2448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8"/>
              </w:rPr>
              <w:t>Naturaleza</w:t>
            </w:r>
          </w:p>
        </w:tc>
        <w:tc>
          <w:tcPr>
            <w:tcW w:type="dxa" w:w="7344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8"/>
              </w:rPr>
              <w:t>Documento académico público</w:t>
            </w:r>
          </w:p>
        </w:tc>
      </w:tr>
    </w:tbl>
    <w:p>
      <w:pPr>
        <w:spacing w:after="0"/>
      </w:pPr>
    </w:p>
    <w:p>
      <w:pPr>
        <w:spacing w:before="240"/>
        <w:jc w:val="center"/>
      </w:pPr>
      <w:r>
        <w:rPr>
          <w:rFonts w:ascii="Arial" w:hAnsi="Arial"/>
          <w:b/>
          <w:i w:val="0"/>
          <w:color w:val="39A900"/>
          <w:sz w:val="19"/>
        </w:rPr>
        <w:t>VERSIÓN PÚBLICA SIN DATOS PERSONALES</w:t>
      </w:r>
    </w:p>
    <w:p>
      <w:pPr>
        <w:spacing w:before="360"/>
        <w:jc w:val="center"/>
      </w:pPr>
      <w:r>
        <w:rPr>
          <w:rFonts w:ascii="Arial" w:hAnsi="Arial"/>
          <w:b w:val="0"/>
          <w:i w:val="0"/>
          <w:color w:val="5E6A62"/>
          <w:sz w:val="20"/>
        </w:rPr>
        <w:t>Lenguajes · JavaScript · Tipos primitivos · Operadores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39A900"/>
          <w:sz w:val="17"/>
        </w:rPr>
        <w:t>00 · PUNTO DE PARTIDA</w:t>
      </w:r>
    </w:p>
    <w:p>
      <w:pPr>
        <w:spacing w:after="40"/>
      </w:pPr>
      <w:r>
        <w:rPr>
          <w:rFonts w:ascii="Arial" w:hAnsi="Arial"/>
          <w:b/>
          <w:i w:val="0"/>
          <w:color w:val="174C2C"/>
          <w:sz w:val="46"/>
        </w:rPr>
        <w:t>Propósito y ruta de lectura</w:t>
      </w:r>
    </w:p>
    <w:p>
      <w:pPr>
        <w:spacing w:after="160"/>
      </w:pPr>
      <w:r>
        <w:rPr>
          <w:rFonts w:ascii="Arial" w:hAnsi="Arial"/>
          <w:b w:val="0"/>
          <w:i/>
          <w:color w:val="5E6A62"/>
          <w:sz w:val="18"/>
        </w:rPr>
        <w:t>Los cinco indicadores se atienden de forma explícita y verificable.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7E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39A900"/>
                <w:sz w:val="16"/>
              </w:rPr>
              <w:t>PROPÓSITO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8221B"/>
                <w:sz w:val="18"/>
              </w:rPr>
              <w:t>Consolidar las bases necesarias para leer y escribir JavaScript con criterio: comprender cómo se ejecuta un lenguaje, qué caracteriza a ECMAScript, cómo se representan los valores simples y cómo los operadores transforman esos valores.</w:t>
            </w:r>
          </w:p>
        </w:tc>
      </w:tr>
    </w:tbl>
    <w:p>
      <w:pPr>
        <w:spacing w:after="0"/>
      </w:pPr>
    </w:p>
    <w:p>
      <w:pPr>
        <w:spacing w:before="80" w:after="60"/>
      </w:pPr>
      <w:r>
        <w:rPr>
          <w:rFonts w:ascii="Arial" w:hAnsi="Arial"/>
          <w:b/>
          <w:i w:val="0"/>
          <w:color w:val="174C2C"/>
          <w:sz w:val="24"/>
        </w:rPr>
        <w:t>Objetivos específicos</w:t>
      </w:r>
    </w:p>
    <w:p>
      <w:pPr>
        <w:pStyle w:val="ListBullet"/>
        <w:spacing w:after="60" w:line="252" w:lineRule="auto"/>
        <w:ind w:left="317" w:hanging="173"/>
      </w:pPr>
      <w:r>
        <w:rPr>
          <w:rFonts w:ascii="Arial" w:hAnsi="Arial"/>
          <w:b w:val="0"/>
          <w:i w:val="0"/>
          <w:color w:val="18221B"/>
          <w:sz w:val="18"/>
        </w:rPr>
        <w:t>Comparar compilación e interpretación sin presentar categorías absolutas.</w:t>
      </w:r>
    </w:p>
    <w:p>
      <w:pPr>
        <w:pStyle w:val="ListBullet"/>
        <w:spacing w:after="60" w:line="252" w:lineRule="auto"/>
        <w:ind w:left="317" w:hanging="173"/>
      </w:pPr>
      <w:r>
        <w:rPr>
          <w:rFonts w:ascii="Arial" w:hAnsi="Arial"/>
          <w:b w:val="0"/>
          <w:i w:val="0"/>
          <w:color w:val="18221B"/>
          <w:sz w:val="18"/>
        </w:rPr>
        <w:t>Distinguir el lenguaje JavaScript del motor y de las API ofrecidas por cada entorno.</w:t>
      </w:r>
    </w:p>
    <w:p>
      <w:pPr>
        <w:pStyle w:val="ListBullet"/>
        <w:spacing w:after="60" w:line="252" w:lineRule="auto"/>
        <w:ind w:left="317" w:hanging="173"/>
      </w:pPr>
      <w:r>
        <w:rPr>
          <w:rFonts w:ascii="Arial" w:hAnsi="Arial"/>
          <w:b w:val="0"/>
          <w:i w:val="0"/>
          <w:color w:val="18221B"/>
          <w:sz w:val="18"/>
        </w:rPr>
        <w:t>Reconocer los siete primitivos vigentes y seleccionar su uso de acuerdo con el dato.</w:t>
      </w:r>
    </w:p>
    <w:p>
      <w:pPr>
        <w:pStyle w:val="ListBullet"/>
        <w:spacing w:after="60" w:line="252" w:lineRule="auto"/>
        <w:ind w:left="317" w:hanging="173"/>
      </w:pPr>
      <w:r>
        <w:rPr>
          <w:rFonts w:ascii="Arial" w:hAnsi="Arial"/>
          <w:b w:val="0"/>
          <w:i w:val="0"/>
          <w:color w:val="18221B"/>
          <w:sz w:val="18"/>
        </w:rPr>
        <w:t>Aplicar operadores atendiendo a precedencia, coerción y evaluación por cortocircuito.</w:t>
      </w:r>
    </w:p>
    <w:p>
      <w:pPr>
        <w:spacing w:before="80" w:after="60"/>
      </w:pPr>
      <w:r>
        <w:rPr>
          <w:rFonts w:ascii="Arial" w:hAnsi="Arial"/>
          <w:b/>
          <w:i w:val="0"/>
          <w:color w:val="174C2C"/>
          <w:sz w:val="24"/>
        </w:rPr>
        <w:t>Ruta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152"/>
            <w:shd w:fill="174C2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CAPÍTULO</w:t>
            </w:r>
          </w:p>
        </w:tc>
        <w:tc>
          <w:tcPr>
            <w:tcW w:type="dxa" w:w="5616"/>
            <w:shd w:fill="174C2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PREGUNTA QUE RESUELVE</w:t>
            </w:r>
          </w:p>
        </w:tc>
        <w:tc>
          <w:tcPr>
            <w:tcW w:type="dxa" w:w="3024"/>
            <w:shd w:fill="174C2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APOYO VISUAL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1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¿Cómo llega el código fuente a ejecutarse?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Dos canales de ejecución.</w:t>
            </w:r>
          </w:p>
        </w:tc>
      </w:tr>
      <w:tr>
        <w:tc>
          <w:tcPr>
            <w:tcW w:type="dxa" w:w="1152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2</w:t>
            </w:r>
          </w:p>
        </w:tc>
        <w:tc>
          <w:tcPr>
            <w:tcW w:type="dxa" w:w="5616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¿Qué hace distintivo a JavaScript?</w:t>
            </w:r>
          </w:p>
        </w:tc>
        <w:tc>
          <w:tcPr>
            <w:tcW w:type="dxa" w:w="3024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Capas lenguaje–motor–entorno.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3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¿Qué valores primitivos existen y para qué sirven?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Mapa de siete tipos.</w:t>
            </w:r>
          </w:p>
        </w:tc>
      </w:tr>
      <w:tr>
        <w:tc>
          <w:tcPr>
            <w:tcW w:type="dxa" w:w="1152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4</w:t>
            </w:r>
          </w:p>
        </w:tc>
        <w:tc>
          <w:tcPr>
            <w:tcW w:type="dxa" w:w="5616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¿Cómo se forman y evalúan expresiones?</w:t>
            </w:r>
          </w:p>
        </w:tc>
        <w:tc>
          <w:tcPr>
            <w:tcW w:type="dxa" w:w="3024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Escalera de precedencia.</w:t>
            </w:r>
          </w:p>
        </w:tc>
      </w:tr>
    </w:tbl>
    <w:p>
      <w:pPr>
        <w:spacing w:after="0"/>
      </w:pPr>
    </w:p>
    <w:p>
      <w:pPr>
        <w:spacing w:line="264" w:lineRule="auto" w:after="120"/>
        <w:jc w:val="both"/>
      </w:pPr>
      <w:r>
        <w:rPr>
          <w:rFonts w:ascii="Arial" w:hAnsi="Arial"/>
          <w:b w:val="0"/>
          <w:i w:val="0"/>
          <w:color w:val="18221B"/>
          <w:sz w:val="18"/>
        </w:rPr>
        <w:t>Método: síntesis comparativa de la guía SENA [1], la especificación ECMA-262 [2], MDN [3–6] y la documentación del motor V8 [7]. Las figuras son elaboración propia y declaran su base conceptual.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39A900"/>
          <w:sz w:val="17"/>
        </w:rPr>
        <w:t>01 · ESTRATEGIAS DE EJECUCIÓN</w:t>
      </w:r>
    </w:p>
    <w:p>
      <w:pPr>
        <w:spacing w:after="40"/>
      </w:pPr>
      <w:r>
        <w:rPr>
          <w:rFonts w:ascii="Arial" w:hAnsi="Arial"/>
          <w:b/>
          <w:i w:val="0"/>
          <w:color w:val="174C2C"/>
          <w:sz w:val="46"/>
        </w:rPr>
        <w:t>Lenguajes compilados e interpretados</w:t>
      </w:r>
    </w:p>
    <w:p>
      <w:pPr>
        <w:spacing w:after="160"/>
      </w:pPr>
      <w:r>
        <w:rPr>
          <w:rFonts w:ascii="Arial" w:hAnsi="Arial"/>
          <w:b w:val="0"/>
          <w:i/>
          <w:color w:val="5E6A62"/>
          <w:sz w:val="18"/>
        </w:rPr>
        <w:t>La diferencia principal está en cuándo y cómo se traduce el programa.</w:t>
      </w:r>
    </w:p>
    <w:p>
      <w:pPr>
        <w:spacing w:line="264" w:lineRule="auto" w:after="120"/>
        <w:jc w:val="both"/>
      </w:pPr>
      <w:r>
        <w:rPr>
          <w:rFonts w:ascii="Arial" w:hAnsi="Arial"/>
          <w:b w:val="0"/>
          <w:i w:val="0"/>
          <w:color w:val="18221B"/>
          <w:sz w:val="19"/>
        </w:rPr>
        <w:t>Compilar significa transformar un programa a otro formato antes o durante su ejecución. En un flujo AOT (ahead of time), la traducción suele producir un archivo ejecutable antes de iniciar el programa. Interpretar significa que un programa intermediario analiza y ejecuta instrucciones durante la marcha. Son estrategias de implementación: un lenguaje no queda obligado para siempre a una sola de ellas [5].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656"/>
            <w:shd w:fill="174C2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4104"/>
            <w:shd w:fill="174C2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COMPILACIÓN AOT</w:t>
            </w:r>
          </w:p>
        </w:tc>
        <w:tc>
          <w:tcPr>
            <w:tcW w:type="dxa" w:w="4104"/>
            <w:shd w:fill="174C2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Momento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Traducción previa a la ejecución.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Análisis y ejecución durante el uso.</w:t>
            </w:r>
          </w:p>
        </w:tc>
      </w:tr>
      <w:tr>
        <w:tc>
          <w:tcPr>
            <w:tcW w:type="dxa" w:w="1656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Producto</w:t>
            </w:r>
          </w:p>
        </w:tc>
        <w:tc>
          <w:tcPr>
            <w:tcW w:type="dxa" w:w="4104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Puede generar binario o código objeto.</w:t>
            </w:r>
          </w:p>
        </w:tc>
        <w:tc>
          <w:tcPr>
            <w:tcW w:type="dxa" w:w="4104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Normalmente conserva el fuente y usa un intérprete.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Errores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Muchos se detectan al compilar.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Algunos aparecen al alcanzar la instrucción.</w:t>
            </w:r>
          </w:p>
        </w:tc>
      </w:tr>
      <w:tr>
        <w:tc>
          <w:tcPr>
            <w:tcW w:type="dxa" w:w="1656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Inicio</w:t>
            </w:r>
          </w:p>
        </w:tc>
        <w:tc>
          <w:tcPr>
            <w:tcW w:type="dxa" w:w="4104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Requiere una fase previa de construcción.</w:t>
            </w:r>
          </w:p>
        </w:tc>
        <w:tc>
          <w:tcPr>
            <w:tcW w:type="dxa" w:w="4104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Puede iniciar sin crear un ejecutable independiente.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Rendimiento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El ejecutable ya está traducido.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La traducción añade trabajo en tiempo de ejecución.</w:t>
            </w:r>
          </w:p>
        </w:tc>
      </w:tr>
      <w:tr>
        <w:tc>
          <w:tcPr>
            <w:tcW w:type="dxa" w:w="1656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Portabilidad</w:t>
            </w:r>
          </w:p>
        </w:tc>
        <w:tc>
          <w:tcPr>
            <w:tcW w:type="dxa" w:w="4104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El binario depende del destino.</w:t>
            </w:r>
          </w:p>
        </w:tc>
        <w:tc>
          <w:tcPr>
            <w:tcW w:type="dxa" w:w="4104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6"/>
              </w:rPr>
              <w:t>El fuente viaja si existe un entorno compatible.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4D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D09A24"/>
                <w:sz w:val="16"/>
              </w:rPr>
              <w:t>CONCLUSIÓN COMPARATIVA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8221B"/>
                <w:sz w:val="18"/>
              </w:rPr>
              <w:t>Compilado no significa automáticamente mejor, ni interpretado significa necesariamente lento. Importan el motor, la optimización, la carga de trabajo y el momento en que se realiza la traducción.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39A900"/>
          <w:sz w:val="17"/>
        </w:rPr>
        <w:t>01 · ESTRATEGIAS DE EJECUCIÓN</w:t>
      </w:r>
    </w:p>
    <w:p>
      <w:pPr>
        <w:spacing w:after="40"/>
      </w:pPr>
      <w:r>
        <w:rPr>
          <w:rFonts w:ascii="Arial" w:hAnsi="Arial"/>
          <w:b/>
          <w:i w:val="0"/>
          <w:color w:val="174C2C"/>
          <w:sz w:val="46"/>
        </w:rPr>
        <w:t>El caso real de JavaScript</w:t>
      </w:r>
    </w:p>
    <w:p>
      <w:pPr>
        <w:spacing w:after="160"/>
      </w:pPr>
      <w:r>
        <w:rPr>
          <w:rFonts w:ascii="Arial" w:hAnsi="Arial"/>
          <w:b w:val="0"/>
          <w:i/>
          <w:color w:val="5E6A62"/>
          <w:sz w:val="18"/>
        </w:rPr>
        <w:t>Los motores modernos combinan intérprete y compilador JIT.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strategias_ejecu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 w:val="0"/>
          <w:i/>
          <w:color w:val="5E6A62"/>
          <w:sz w:val="16"/>
        </w:rPr>
        <w:t>Figura 1. Estrategias de ejecución. Elaboración propia con base en MDN [5] y V8 [7].</w:t>
      </w:r>
    </w:p>
    <w:p>
      <w:pPr>
        <w:spacing w:line="264" w:lineRule="auto" w:after="120"/>
        <w:jc w:val="both"/>
      </w:pPr>
      <w:r>
        <w:rPr>
          <w:rFonts w:ascii="Arial" w:hAnsi="Arial"/>
          <w:b w:val="0"/>
          <w:i w:val="0"/>
          <w:color w:val="18221B"/>
          <w:sz w:val="19"/>
        </w:rPr>
        <w:t>ECMAScript especifica la sintaxis y los resultados observables, pero no obliga a una arquitectura interna. En V8, el código pasa por análisis y bytecode, se ejecuta con Ignition y las partes usadas con frecuencia pueden optimizarse con TurboFan. Por eso es más preciso afirmar que JavaScript suele ejecutarse mediante una combinación de interpretación y compilación JIT [7].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4F8397"/>
                <w:sz w:val="16"/>
              </w:rPr>
              <w:t>AOT FRENTE A JIT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8221B"/>
                <w:sz w:val="18"/>
              </w:rPr>
              <w:t>AOT traduce antes de iniciar; JIT compila durante la ejecución usando información real del programa. Una misma aplicación puede recorrer bytecode y código nativo optimizado.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39A900"/>
          <w:sz w:val="17"/>
        </w:rPr>
        <w:t>02 · LENGUAJE</w:t>
      </w:r>
    </w:p>
    <w:p>
      <w:pPr>
        <w:spacing w:after="40"/>
      </w:pPr>
      <w:r>
        <w:rPr>
          <w:rFonts w:ascii="Arial" w:hAnsi="Arial"/>
          <w:b/>
          <w:i w:val="0"/>
          <w:color w:val="174C2C"/>
          <w:sz w:val="46"/>
        </w:rPr>
        <w:t>Características principales de JavaScript</w:t>
      </w:r>
    </w:p>
    <w:p>
      <w:pPr>
        <w:spacing w:after="160"/>
      </w:pPr>
      <w:r>
        <w:rPr>
          <w:rFonts w:ascii="Arial" w:hAnsi="Arial"/>
          <w:b w:val="0"/>
          <w:i/>
          <w:color w:val="5E6A62"/>
          <w:sz w:val="18"/>
        </w:rPr>
        <w:t>JavaScript está estandarizado mediante la especificación ECMAScript.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174C2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CARACTERÍSTICA</w:t>
            </w:r>
          </w:p>
        </w:tc>
        <w:tc>
          <w:tcPr>
            <w:tcW w:type="dxa" w:w="3960"/>
            <w:shd w:fill="174C2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SIGNIFICADO</w:t>
            </w:r>
          </w:p>
        </w:tc>
        <w:tc>
          <w:tcPr>
            <w:tcW w:type="dxa" w:w="3960"/>
            <w:shd w:fill="174C2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IMPLICACIÓN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Estandarizado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ECMA-262 define la semántica.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Los motores comparten una base común.</w:t>
            </w:r>
          </w:p>
        </w:tc>
      </w:tr>
      <w:tr>
        <w:tc>
          <w:tcPr>
            <w:tcW w:type="dxa" w:w="1944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Dinámico</w:t>
            </w:r>
          </w:p>
        </w:tc>
        <w:tc>
          <w:tcPr>
            <w:tcW w:type="dxa" w:w="3960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La variable no queda unida a un tipo.</w:t>
            </w:r>
          </w:p>
        </w:tc>
        <w:tc>
          <w:tcPr>
            <w:tcW w:type="dxa" w:w="3960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El tipo pertenece al valor y puede cambiar.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Coerción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Admite conversiones implícitas.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Conviene controlar comparaciones y entradas.</w:t>
            </w:r>
          </w:p>
        </w:tc>
      </w:tr>
      <w:tr>
        <w:tc>
          <w:tcPr>
            <w:tcW w:type="dxa" w:w="1944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Multiparadigma</w:t>
            </w:r>
          </w:p>
        </w:tc>
        <w:tc>
          <w:tcPr>
            <w:tcW w:type="dxa" w:w="3960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Combina estilos imperativo, funcional y orientado a objetos.</w:t>
            </w:r>
          </w:p>
        </w:tc>
        <w:tc>
          <w:tcPr>
            <w:tcW w:type="dxa" w:w="3960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Permite escoger una solución adecuada al problema.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Prototipos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Los objetos delegan mediante cadenas de prototipos.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La herencia no depende solo de clases.</w:t>
            </w:r>
          </w:p>
        </w:tc>
      </w:tr>
      <w:tr>
        <w:tc>
          <w:tcPr>
            <w:tcW w:type="dxa" w:w="1944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Primera clase</w:t>
            </w:r>
          </w:p>
        </w:tc>
        <w:tc>
          <w:tcPr>
            <w:tcW w:type="dxa" w:w="3960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Las funciones son valores invocables.</w:t>
            </w:r>
          </w:p>
        </w:tc>
        <w:tc>
          <w:tcPr>
            <w:tcW w:type="dxa" w:w="3960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Pueden pasarse, retornarse y almacenarse.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Memoria automática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El motor recupera objetos no alcanzables.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No se libera memoria manualmente.</w:t>
            </w:r>
          </w:p>
        </w:tc>
      </w:tr>
      <w:tr>
        <w:tc>
          <w:tcPr>
            <w:tcW w:type="dxa" w:w="1944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Portable</w:t>
            </w:r>
          </w:p>
        </w:tc>
        <w:tc>
          <w:tcPr>
            <w:tcW w:type="dxa" w:w="3960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Funciona en distintos anfitriones.</w:t>
            </w:r>
          </w:p>
        </w:tc>
        <w:tc>
          <w:tcPr>
            <w:tcW w:type="dxa" w:w="3960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La API disponible depende del entorno.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4D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D09A24"/>
                <w:sz w:val="16"/>
              </w:rPr>
              <w:t>PRECISIÓN TERMINOLÓGICA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8221B"/>
                <w:sz w:val="18"/>
              </w:rPr>
              <w:t>JavaScript es el lenguaje; ECMAScript es su especificación; V8, SpiderMonkey o JavaScriptCore son motores; navegador y Node.js son entornos que añaden API.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39A900"/>
          <w:sz w:val="17"/>
        </w:rPr>
        <w:t>02 · LENGUAJE</w:t>
      </w:r>
    </w:p>
    <w:p>
      <w:pPr>
        <w:spacing w:after="40"/>
      </w:pPr>
      <w:r>
        <w:rPr>
          <w:rFonts w:ascii="Arial" w:hAnsi="Arial"/>
          <w:b/>
          <w:i w:val="0"/>
          <w:color w:val="174C2C"/>
          <w:sz w:val="46"/>
        </w:rPr>
        <w:t>Tres capas que conviene separar</w:t>
      </w:r>
    </w:p>
    <w:p>
      <w:pPr>
        <w:spacing w:after="160"/>
      </w:pPr>
      <w:r>
        <w:rPr>
          <w:rFonts w:ascii="Arial" w:hAnsi="Arial"/>
          <w:b w:val="0"/>
          <w:i/>
          <w:color w:val="5E6A62"/>
          <w:sz w:val="18"/>
        </w:rPr>
        <w:t>Esta distinción evita atribuir al lenguaje funciones que pertenecen al entorno.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pas_javascrip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 w:val="0"/>
          <w:i/>
          <w:color w:val="5E6A62"/>
          <w:sz w:val="16"/>
        </w:rPr>
        <w:t>Figura 2. Capas de una ejecución JavaScript. Elaboración propia con base en ECMA-262 [2] y MDN [3].</w:t>
      </w:r>
    </w:p>
    <w:p>
      <w:pPr>
        <w:spacing w:line="264" w:lineRule="auto" w:after="120"/>
        <w:jc w:val="both"/>
      </w:pPr>
      <w:r>
        <w:rPr>
          <w:rFonts w:ascii="Arial" w:hAnsi="Arial"/>
          <w:b w:val="0"/>
          <w:i w:val="0"/>
          <w:color w:val="18221B"/>
          <w:sz w:val="19"/>
        </w:rPr>
        <w:t>El núcleo ECMAScript aporta valores, operadores, control, objetos, funciones, clases y módulos. El motor materializa esas reglas y se ocupa de ejecutar y optimizar. El anfitrión agrega capacidades: un navegador ofrece el DOM y eventos; un entorno de servidor puede ofrecer sistema de archivos o red. Esas API no forman parte del lenguaje [2, 3].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F6F4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/>
                <w:color w:val="0E3322"/>
                <w:sz w:val="16"/>
              </w:rPr>
              <w:t>const duplicar = (valor) =&gt; valor * 2;</w:t>
              <w:br/>
              <w:t>const operaciones = [duplicar];</w:t>
              <w:br/>
              <w:t>console.log(operaciones[0](21)); // 42</w:t>
            </w:r>
          </w:p>
        </w:tc>
      </w:tr>
    </w:tbl>
    <w:p>
      <w:pPr>
        <w:spacing w:after="0"/>
      </w:pPr>
    </w:p>
    <w:p>
      <w:pPr>
        <w:spacing w:line="264" w:lineRule="auto" w:after="120"/>
        <w:jc w:val="both"/>
      </w:pPr>
      <w:r>
        <w:rPr>
          <w:rFonts w:ascii="Arial" w:hAnsi="Arial"/>
          <w:b w:val="0"/>
          <w:i w:val="0"/>
          <w:color w:val="18221B"/>
          <w:sz w:val="18"/>
        </w:rPr>
        <w:t>El ejemplo muestra una función como valor: se guarda dentro de un arreglo y después se invoca. Esa propiedad sustenta callbacks, composición y gran parte de la programación asíncrona.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39A900"/>
          <w:sz w:val="17"/>
        </w:rPr>
        <w:t>03 · VALORES</w:t>
      </w:r>
    </w:p>
    <w:p>
      <w:pPr>
        <w:spacing w:after="40"/>
      </w:pPr>
      <w:r>
        <w:rPr>
          <w:rFonts w:ascii="Arial" w:hAnsi="Arial"/>
          <w:b/>
          <w:i w:val="0"/>
          <w:color w:val="174C2C"/>
          <w:sz w:val="46"/>
        </w:rPr>
        <w:t>Tipos de datos primitivos</w:t>
      </w:r>
    </w:p>
    <w:p>
      <w:pPr>
        <w:spacing w:after="160"/>
      </w:pPr>
      <w:r>
        <w:rPr>
          <w:rFonts w:ascii="Arial" w:hAnsi="Arial"/>
          <w:b w:val="0"/>
          <w:i/>
          <w:color w:val="5E6A62"/>
          <w:sz w:val="18"/>
        </w:rPr>
        <w:t>ECMA-262 define siete tipos primitivos y Object como categoría separada.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440"/>
            <w:shd w:fill="174C2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2448"/>
            <w:shd w:fill="174C2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EJEMPLO</w:t>
            </w:r>
          </w:p>
        </w:tc>
        <w:tc>
          <w:tcPr>
            <w:tcW w:type="dxa" w:w="4392"/>
            <w:shd w:fill="174C2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USO HABITUAL</w:t>
            </w:r>
          </w:p>
        </w:tc>
        <w:tc>
          <w:tcPr>
            <w:tcW w:type="dxa" w:w="1512"/>
            <w:shd w:fill="174C2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typeof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String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"Bogotá"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Texto, etiquetas y entradas.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"string"</w:t>
            </w:r>
          </w:p>
        </w:tc>
      </w:tr>
      <w:tr>
        <w:tc>
          <w:tcPr>
            <w:tcW w:type="dxa" w:w="1440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Number</w:t>
            </w:r>
          </w:p>
        </w:tc>
        <w:tc>
          <w:tcPr>
            <w:tcW w:type="dxa" w:w="2448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42; 3.14; NaN</w:t>
            </w:r>
          </w:p>
        </w:tc>
        <w:tc>
          <w:tcPr>
            <w:tcW w:type="dxa" w:w="4392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Cálculo general con enteros o decimales.</w:t>
            </w:r>
          </w:p>
        </w:tc>
        <w:tc>
          <w:tcPr>
            <w:tcW w:type="dxa" w:w="1512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"number"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BigInt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9007199254740993n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Enteros fuera del rango seguro de Number.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"bigint"</w:t>
            </w:r>
          </w:p>
        </w:tc>
      </w:tr>
      <w:tr>
        <w:tc>
          <w:tcPr>
            <w:tcW w:type="dxa" w:w="1440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Boolean</w:t>
            </w:r>
          </w:p>
        </w:tc>
        <w:tc>
          <w:tcPr>
            <w:tcW w:type="dxa" w:w="2448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true; false</w:t>
            </w:r>
          </w:p>
        </w:tc>
        <w:tc>
          <w:tcPr>
            <w:tcW w:type="dxa" w:w="4392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Decisiones y estados lógicos.</w:t>
            </w:r>
          </w:p>
        </w:tc>
        <w:tc>
          <w:tcPr>
            <w:tcW w:type="dxa" w:w="1512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"boolean"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Undefined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let dato;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Ausencia de asignación o retorno.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"undefined"</w:t>
            </w:r>
          </w:p>
        </w:tc>
      </w:tr>
      <w:tr>
        <w:tc>
          <w:tcPr>
            <w:tcW w:type="dxa" w:w="1440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Symbol</w:t>
            </w:r>
          </w:p>
        </w:tc>
        <w:tc>
          <w:tcPr>
            <w:tcW w:type="dxa" w:w="2448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Symbol("clave")</w:t>
            </w:r>
          </w:p>
        </w:tc>
        <w:tc>
          <w:tcPr>
            <w:tcW w:type="dxa" w:w="4392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Identificadores únicos de propiedades.</w:t>
            </w:r>
          </w:p>
        </w:tc>
        <w:tc>
          <w:tcPr>
            <w:tcW w:type="dxa" w:w="1512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"symbol"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Null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null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Ausencia intencional de un valor de objeto.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"object"*</w:t>
            </w:r>
          </w:p>
        </w:tc>
      </w:tr>
    </w:tbl>
    <w:p>
      <w:pPr>
        <w:spacing w:after="0"/>
      </w:pPr>
    </w:p>
    <w:p>
      <w:pPr>
        <w:spacing w:line="264" w:lineRule="auto" w:after="120"/>
        <w:jc w:val="both"/>
      </w:pPr>
      <w:r>
        <w:rPr>
          <w:rFonts w:ascii="Arial" w:hAnsi="Arial"/>
          <w:b w:val="0"/>
          <w:i w:val="0"/>
          <w:color w:val="18221B"/>
          <w:sz w:val="19"/>
        </w:rPr>
        <w:t>Un primitivo es inmutable: la operación crea otro valor en vez de modificar el existente. La variable sí puede reasignarse. Arreglos, funciones, fechas y objetos pertenecen a Object, por lo que no deben sumarse como un octavo primitivo [2, 4].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4F8397"/>
                <w:sz w:val="16"/>
              </w:rPr>
              <w:t>BIGINT Y NUMBER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8221B"/>
                <w:sz w:val="18"/>
              </w:rPr>
              <w:t>No deben mezclarse directamente en aritmética. BigInt conserva enteros arbitrariamente grandes, pero no representa fracciones. Number usa punto flotante y tiene límites de precisión.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39A900"/>
          <w:sz w:val="17"/>
        </w:rPr>
        <w:t>03 · VALORES</w:t>
      </w:r>
    </w:p>
    <w:p>
      <w:pPr>
        <w:spacing w:after="40"/>
      </w:pPr>
      <w:r>
        <w:rPr>
          <w:rFonts w:ascii="Arial" w:hAnsi="Arial"/>
          <w:b/>
          <w:i w:val="0"/>
          <w:color w:val="174C2C"/>
          <w:sz w:val="46"/>
        </w:rPr>
        <w:t>Uso, detección y dos excepciones</w:t>
      </w:r>
    </w:p>
    <w:p>
      <w:pPr>
        <w:spacing w:after="160"/>
      </w:pPr>
      <w:r>
        <w:rPr>
          <w:rFonts w:ascii="Arial" w:hAnsi="Arial"/>
          <w:b w:val="0"/>
          <w:i/>
          <w:color w:val="5E6A62"/>
          <w:sz w:val="18"/>
        </w:rPr>
        <w:t>El tipo correcto comunica intención y evita conversiones inesperadas.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ipos_primitiv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 w:val="0"/>
          <w:i/>
          <w:color w:val="5E6A62"/>
          <w:sz w:val="16"/>
        </w:rPr>
        <w:t>Figura 3. Mapa de tipos primitivos. Elaboración propia con base en ECMA-262 [2] y MDN [4].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F6F4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/>
                <w:color w:val="0E3322"/>
                <w:sz w:val="16"/>
              </w:rPr>
              <w:t>const titulo = "Informe";          // String</w:t>
              <w:br/>
              <w:t>const paginas = 12;                 // Number</w:t>
              <w:br/>
              <w:t>const publicado = true;             // Boolean</w:t>
              <w:br/>
              <w:t>let observacion;                     // Undefined</w:t>
              <w:br/>
              <w:t>const seleccion = null;              // Null</w:t>
              <w:br/>
              <w:t>const clave = Symbol("registro");    // Symbol</w:t>
            </w:r>
          </w:p>
        </w:tc>
      </w:tr>
    </w:tbl>
    <w:p>
      <w:pPr>
        <w:spacing w:after="0"/>
      </w:pPr>
    </w:p>
    <w:p>
      <w:pPr>
        <w:pStyle w:val="ListBullet"/>
        <w:spacing w:after="60" w:line="252" w:lineRule="auto"/>
        <w:ind w:left="317" w:hanging="173"/>
      </w:pPr>
      <w:r>
        <w:rPr>
          <w:rFonts w:ascii="Arial" w:hAnsi="Arial"/>
          <w:b w:val="0"/>
          <w:i w:val="0"/>
          <w:color w:val="18221B"/>
          <w:sz w:val="17"/>
        </w:rPr>
        <w:t>`typeof null` devuelve `"object"` por compatibilidad histórica; la comprobación segura es `valor === null`.</w:t>
      </w:r>
    </w:p>
    <w:p>
      <w:pPr>
        <w:pStyle w:val="ListBullet"/>
        <w:spacing w:after="60" w:line="252" w:lineRule="auto"/>
        <w:ind w:left="317" w:hanging="173"/>
      </w:pPr>
      <w:r>
        <w:rPr>
          <w:rFonts w:ascii="Arial" w:hAnsi="Arial"/>
          <w:b w:val="0"/>
          <w:i w:val="0"/>
          <w:color w:val="18221B"/>
          <w:sz w:val="17"/>
        </w:rPr>
        <w:t>NaN pertenece al tipo Number, pero representa un resultado numérico inválido; se detecta con Number.isNaN(valor).</w:t>
      </w:r>
    </w:p>
    <w:p>
      <w:pPr>
        <w:pStyle w:val="ListBullet"/>
        <w:spacing w:after="60" w:line="252" w:lineRule="auto"/>
        <w:ind w:left="317" w:hanging="173"/>
      </w:pPr>
      <w:r>
        <w:rPr>
          <w:rFonts w:ascii="Arial" w:hAnsi="Arial"/>
          <w:b w:val="0"/>
          <w:i w:val="0"/>
          <w:color w:val="18221B"/>
          <w:sz w:val="17"/>
        </w:rPr>
        <w:t>Una propiedad inexistente suele producir undefined; null suele expresar una ausencia decidida por el programa.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39A900"/>
          <w:sz w:val="17"/>
        </w:rPr>
        <w:t>04 · EXPRESIONES</w:t>
      </w:r>
    </w:p>
    <w:p>
      <w:pPr>
        <w:spacing w:after="40"/>
      </w:pPr>
      <w:r>
        <w:rPr>
          <w:rFonts w:ascii="Arial" w:hAnsi="Arial"/>
          <w:b/>
          <w:i w:val="0"/>
          <w:color w:val="174C2C"/>
          <w:sz w:val="46"/>
        </w:rPr>
        <w:t>Operadores en JavaScript</w:t>
      </w:r>
    </w:p>
    <w:p>
      <w:pPr>
        <w:spacing w:after="160"/>
      </w:pPr>
      <w:r>
        <w:rPr>
          <w:rFonts w:ascii="Arial" w:hAnsi="Arial"/>
          <w:b w:val="0"/>
          <w:i/>
          <w:color w:val="5E6A62"/>
          <w:sz w:val="18"/>
        </w:rPr>
        <w:t>Un operador recibe operandos y produce un valor o un efecto.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174C2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FAMILIA</w:t>
            </w:r>
          </w:p>
        </w:tc>
        <w:tc>
          <w:tcPr>
            <w:tcW w:type="dxa" w:w="3024"/>
            <w:shd w:fill="174C2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OPERADORES</w:t>
            </w:r>
          </w:p>
        </w:tc>
        <w:tc>
          <w:tcPr>
            <w:tcW w:type="dxa" w:w="5112"/>
            <w:shd w:fill="174C2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EJEMPLO Y RESULTADO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Aritméticos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+  −  *  /  %  **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2 ** 3 → 8</w:t>
            </w:r>
          </w:p>
        </w:tc>
      </w:tr>
      <w:tr>
        <w:tc>
          <w:tcPr>
            <w:tcW w:type="dxa" w:w="1800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Asignación</w:t>
            </w:r>
          </w:p>
        </w:tc>
        <w:tc>
          <w:tcPr>
            <w:tcW w:type="dxa" w:w="3024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=  +=  -=  *=  ??=</w:t>
            </w:r>
          </w:p>
        </w:tc>
        <w:tc>
          <w:tcPr>
            <w:tcW w:type="dxa" w:w="5112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total += 5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Comparación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&lt;  &gt;  &lt;=  &gt;=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edad &gt;= 18 → booleano</w:t>
            </w:r>
          </w:p>
        </w:tc>
      </w:tr>
      <w:tr>
        <w:tc>
          <w:tcPr>
            <w:tcW w:type="dxa" w:w="1800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Igualdad</w:t>
            </w:r>
          </w:p>
        </w:tc>
        <w:tc>
          <w:tcPr>
            <w:tcW w:type="dxa" w:w="3024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===  !==  ==  !=</w:t>
            </w:r>
          </w:p>
        </w:tc>
        <w:tc>
          <w:tcPr>
            <w:tcW w:type="dxa" w:w="5112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5 === "5" → false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Lógicos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&amp;&amp;  ||  !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activo &amp;&amp; autorizado</w:t>
            </w:r>
          </w:p>
        </w:tc>
      </w:tr>
      <w:tr>
        <w:tc>
          <w:tcPr>
            <w:tcW w:type="dxa" w:w="1800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Fusión nula</w:t>
            </w:r>
          </w:p>
        </w:tc>
        <w:tc>
          <w:tcPr>
            <w:tcW w:type="dxa" w:w="3024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??</w:t>
            </w:r>
          </w:p>
        </w:tc>
        <w:tc>
          <w:tcPr>
            <w:tcW w:type="dxa" w:w="5112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nombre ?? "Sin dato"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Condicional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? :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mayor ? "Sí" : "No"</w:t>
            </w:r>
          </w:p>
        </w:tc>
      </w:tr>
      <w:tr>
        <w:tc>
          <w:tcPr>
            <w:tcW w:type="dxa" w:w="1800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Unarios</w:t>
            </w:r>
          </w:p>
        </w:tc>
        <w:tc>
          <w:tcPr>
            <w:tcW w:type="dxa" w:w="3024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typeof  delete  void  ++</w:t>
            </w:r>
          </w:p>
        </w:tc>
        <w:tc>
          <w:tcPr>
            <w:tcW w:type="dxa" w:w="5112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typeof 42 → number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Relacionales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in  instanceof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"id" in objeto</w:t>
            </w:r>
          </w:p>
        </w:tc>
      </w:tr>
      <w:tr>
        <w:tc>
          <w:tcPr>
            <w:tcW w:type="dxa" w:w="1800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Bit a bit</w:t>
            </w:r>
          </w:p>
        </w:tc>
        <w:tc>
          <w:tcPr>
            <w:tcW w:type="dxa" w:w="3024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&amp;  |  ^  ~  &lt;&lt;  &gt;&gt;  &gt;&gt;&gt;</w:t>
            </w:r>
          </w:p>
        </w:tc>
        <w:tc>
          <w:tcPr>
            <w:tcW w:type="dxa" w:w="5112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5 &amp; 1 → 1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4D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D09A24"/>
                <w:sz w:val="16"/>
              </w:rPr>
              <w:t>IGUALDAD ESTRICTA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8221B"/>
                <w:sz w:val="18"/>
              </w:rPr>
              <w:t>`===` y `!==` comparan sin convertir tipos y suelen expresar mejor la intención. La igualdad flexible puede ser válida, pero exige conocer con precisión sus reglas de coerción [6].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39A900"/>
          <w:sz w:val="17"/>
        </w:rPr>
        <w:t>04 · EXPRESIONES</w:t>
      </w:r>
    </w:p>
    <w:p>
      <w:pPr>
        <w:spacing w:after="40"/>
      </w:pPr>
      <w:r>
        <w:rPr>
          <w:rFonts w:ascii="Arial" w:hAnsi="Arial"/>
          <w:b/>
          <w:i w:val="0"/>
          <w:color w:val="174C2C"/>
          <w:sz w:val="46"/>
        </w:rPr>
        <w:t>Precedencia, coerción y cortocircuito</w:t>
      </w:r>
    </w:p>
    <w:p>
      <w:pPr>
        <w:spacing w:after="160"/>
      </w:pPr>
      <w:r>
        <w:rPr>
          <w:rFonts w:ascii="Arial" w:hAnsi="Arial"/>
          <w:b w:val="0"/>
          <w:i/>
          <w:color w:val="5E6A62"/>
          <w:sz w:val="18"/>
        </w:rPr>
        <w:t>Los paréntesis y la igualdad estricta vuelven el resultado más predecible.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peradores_precedenc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 w:val="0"/>
          <w:i/>
          <w:color w:val="5E6A62"/>
          <w:sz w:val="16"/>
        </w:rPr>
        <w:t>Figura 4. Orden de evaluación. Elaboración propia con base en MDN [6].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F6F4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/>
                <w:color w:val="0E3322"/>
                <w:sz w:val="16"/>
              </w:rPr>
              <w:t>const subtotal = 85000;</w:t>
              <w:br/>
              <w:t>const descuento = subtotal &gt; 50000 ? subtotal * 0.20 : 0;</w:t>
              <w:br/>
              <w:t>const total = subtotal - descuento;       // 68000</w:t>
              <w:br/>
              <w:br/>
              <w:t>const alias = null;</w:t>
              <w:br/>
              <w:t>const etiqueta = alias ?? "Sin registrar";</w:t>
            </w:r>
          </w:p>
        </w:tc>
      </w:tr>
    </w:tbl>
    <w:p>
      <w:pPr>
        <w:spacing w:after="0"/>
      </w:pPr>
    </w:p>
    <w:p>
      <w:pPr>
        <w:pStyle w:val="ListBullet"/>
        <w:spacing w:after="60" w:line="252" w:lineRule="auto"/>
        <w:ind w:left="317" w:hanging="173"/>
      </w:pPr>
      <w:r>
        <w:rPr>
          <w:rFonts w:ascii="Arial" w:hAnsi="Arial"/>
          <w:b w:val="0"/>
          <w:i w:val="0"/>
          <w:color w:val="18221B"/>
          <w:sz w:val="17"/>
        </w:rPr>
        <w:t>La multiplicación se evalúa antes que la suma; los paréntesis pueden cambiar o aclarar ese orden.</w:t>
      </w:r>
    </w:p>
    <w:p>
      <w:pPr>
        <w:pStyle w:val="ListBullet"/>
        <w:spacing w:after="60" w:line="252" w:lineRule="auto"/>
        <w:ind w:left="317" w:hanging="173"/>
      </w:pPr>
      <w:r>
        <w:rPr>
          <w:rFonts w:ascii="Arial" w:hAnsi="Arial"/>
          <w:b w:val="0"/>
          <w:i w:val="0"/>
          <w:color w:val="18221B"/>
          <w:sz w:val="17"/>
        </w:rPr>
        <w:t>`"5" + 2` produce `"52"`; `Number("5") + 2` produce `7`. La conversión explícita comunica la intención.</w:t>
      </w:r>
    </w:p>
    <w:p>
      <w:pPr>
        <w:pStyle w:val="ListBullet"/>
        <w:spacing w:after="60" w:line="252" w:lineRule="auto"/>
        <w:ind w:left="317" w:hanging="173"/>
      </w:pPr>
      <w:r>
        <w:rPr>
          <w:rFonts w:ascii="Arial" w:hAnsi="Arial"/>
          <w:b w:val="0"/>
          <w:i w:val="0"/>
          <w:color w:val="18221B"/>
          <w:sz w:val="17"/>
        </w:rPr>
        <w:t>`&amp;&amp;`, `||` y `??` usan cortocircuito: el segundo operando se evalúa solo cuando la regla lo necesita.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39A900"/>
          <w:sz w:val="17"/>
        </w:rPr>
        <w:t>05 · CIERRE</w:t>
      </w:r>
    </w:p>
    <w:p>
      <w:pPr>
        <w:spacing w:after="40"/>
      </w:pPr>
      <w:r>
        <w:rPr>
          <w:rFonts w:ascii="Arial" w:hAnsi="Arial"/>
          <w:b/>
          <w:i w:val="0"/>
          <w:color w:val="174C2C"/>
          <w:sz w:val="46"/>
        </w:rPr>
        <w:t>Conclusiones y matriz de cumplimiento</w:t>
      </w:r>
    </w:p>
    <w:p>
      <w:pPr>
        <w:spacing w:after="160"/>
      </w:pPr>
      <w:r>
        <w:rPr>
          <w:rFonts w:ascii="Arial" w:hAnsi="Arial"/>
          <w:b w:val="0"/>
          <w:i/>
          <w:color w:val="5E6A62"/>
          <w:sz w:val="18"/>
        </w:rPr>
        <w:t>El conocimiento conceptual se traduce en decisiones de código más seguras.</w:t>
      </w:r>
    </w:p>
    <w:p>
      <w:pPr>
        <w:pStyle w:val="ListBullet"/>
        <w:spacing w:after="60" w:line="252" w:lineRule="auto"/>
        <w:ind w:left="317" w:hanging="173"/>
      </w:pPr>
      <w:r>
        <w:rPr>
          <w:rFonts w:ascii="Arial" w:hAnsi="Arial"/>
          <w:b w:val="0"/>
          <w:i w:val="0"/>
          <w:color w:val="18221B"/>
          <w:sz w:val="18"/>
        </w:rPr>
        <w:t>Compilación e interpretación son estrategias combinables; JavaScript moderno usa ejecución adaptativa.</w:t>
      </w:r>
    </w:p>
    <w:p>
      <w:pPr>
        <w:pStyle w:val="ListBullet"/>
        <w:spacing w:after="60" w:line="252" w:lineRule="auto"/>
        <w:ind w:left="317" w:hanging="173"/>
      </w:pPr>
      <w:r>
        <w:rPr>
          <w:rFonts w:ascii="Arial" w:hAnsi="Arial"/>
          <w:b w:val="0"/>
          <w:i w:val="0"/>
          <w:color w:val="18221B"/>
          <w:sz w:val="18"/>
        </w:rPr>
        <w:t>La especificación, el motor y el entorno son capas distintas y complementarias.</w:t>
      </w:r>
    </w:p>
    <w:p>
      <w:pPr>
        <w:pStyle w:val="ListBullet"/>
        <w:spacing w:after="60" w:line="252" w:lineRule="auto"/>
        <w:ind w:left="317" w:hanging="173"/>
      </w:pPr>
      <w:r>
        <w:rPr>
          <w:rFonts w:ascii="Arial" w:hAnsi="Arial"/>
          <w:b w:val="0"/>
          <w:i w:val="0"/>
          <w:color w:val="18221B"/>
          <w:sz w:val="18"/>
        </w:rPr>
        <w:t>Los siete primitivos representan valores simples e inmutables; Object agrupa las estructuras compuestas.</w:t>
      </w:r>
    </w:p>
    <w:p>
      <w:pPr>
        <w:pStyle w:val="ListBullet"/>
        <w:spacing w:after="60" w:line="252" w:lineRule="auto"/>
        <w:ind w:left="317" w:hanging="173"/>
      </w:pPr>
      <w:r>
        <w:rPr>
          <w:rFonts w:ascii="Arial" w:hAnsi="Arial"/>
          <w:b w:val="0"/>
          <w:i w:val="0"/>
          <w:color w:val="18221B"/>
          <w:sz w:val="18"/>
        </w:rPr>
        <w:t>Los operadores requieren considerar tipo, precedencia, coerción y cortocircuito.</w:t>
      </w:r>
    </w:p>
    <w:p>
      <w:pPr>
        <w:spacing w:before="80" w:after="60"/>
      </w:pPr>
      <w:r>
        <w:rPr>
          <w:rFonts w:ascii="Arial" w:hAnsi="Arial"/>
          <w:b/>
          <w:i w:val="0"/>
          <w:color w:val="174C2C"/>
          <w:sz w:val="24"/>
        </w:rPr>
        <w:t>Cobertura de la lista de chequeo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648"/>
            <w:shd w:fill="174C2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N.º</w:t>
            </w:r>
          </w:p>
        </w:tc>
        <w:tc>
          <w:tcPr>
            <w:tcW w:type="dxa" w:w="3312"/>
            <w:shd w:fill="174C2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INDICADOR</w:t>
            </w:r>
          </w:p>
        </w:tc>
        <w:tc>
          <w:tcPr>
            <w:tcW w:type="dxa" w:w="4680"/>
            <w:shd w:fill="174C2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EVIDENCIA</w:t>
            </w:r>
          </w:p>
        </w:tc>
        <w:tc>
          <w:tcPr>
            <w:tcW w:type="dxa" w:w="1152"/>
            <w:shd w:fill="174C2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ESTADO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1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Compilados e interpretados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Páginas 3–4, tabla y figura 1.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Cumple</w:t>
            </w:r>
          </w:p>
        </w:tc>
      </w:tr>
      <w:tr>
        <w:tc>
          <w:tcPr>
            <w:tcW w:type="dxa" w:w="648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2</w:t>
            </w:r>
          </w:p>
        </w:tc>
        <w:tc>
          <w:tcPr>
            <w:tcW w:type="dxa" w:w="3312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Características de JavaScript</w:t>
            </w:r>
          </w:p>
        </w:tc>
        <w:tc>
          <w:tcPr>
            <w:tcW w:type="dxa" w:w="4680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Páginas 5–6, tabla, figura 2 y código.</w:t>
            </w:r>
          </w:p>
        </w:tc>
        <w:tc>
          <w:tcPr>
            <w:tcW w:type="dxa" w:w="1152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Cumple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3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Tipos primitivos y uso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Páginas 7–8, tabla, figura 3 y ejemplos.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Cumple</w:t>
            </w:r>
          </w:p>
        </w:tc>
      </w:tr>
      <w:tr>
        <w:tc>
          <w:tcPr>
            <w:tcW w:type="dxa" w:w="648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4</w:t>
            </w:r>
          </w:p>
        </w:tc>
        <w:tc>
          <w:tcPr>
            <w:tcW w:type="dxa" w:w="3312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Operadores</w:t>
            </w:r>
          </w:p>
        </w:tc>
        <w:tc>
          <w:tcPr>
            <w:tcW w:type="dxa" w:w="4680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Páginas 9–10, tabla, figura 4 y ejemplos.</w:t>
            </w:r>
          </w:p>
        </w:tc>
        <w:tc>
          <w:tcPr>
            <w:tcW w:type="dxa" w:w="1152"/>
            <w:shd w:fill="F7F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Cumple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5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Imágenes y fuentes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Cuatro figuras propias y referencias numeradas.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21B"/>
                <w:sz w:val="15"/>
              </w:rPr>
              <w:t>Cumple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7E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39A900"/>
                <w:sz w:val="16"/>
              </w:rPr>
              <w:t>RESULTADO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8221B"/>
                <w:sz w:val="18"/>
              </w:rPr>
              <w:t>Los cinco indicadores tienen evidencia directa. El documento evita extender el alcance hacia los ejercicios de programación que corresponden a la evidencia posterior.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39A900"/>
          <w:sz w:val="17"/>
        </w:rPr>
        <w:t>06 · FUENTES</w:t>
      </w:r>
    </w:p>
    <w:p>
      <w:pPr>
        <w:spacing w:after="40"/>
      </w:pPr>
      <w:r>
        <w:rPr>
          <w:rFonts w:ascii="Arial" w:hAnsi="Arial"/>
          <w:b/>
          <w:i w:val="0"/>
          <w:color w:val="174C2C"/>
          <w:sz w:val="46"/>
        </w:rPr>
        <w:t>Referencias</w:t>
      </w:r>
    </w:p>
    <w:p>
      <w:pPr>
        <w:spacing w:after="160"/>
      </w:pPr>
      <w:r>
        <w:rPr>
          <w:rFonts w:ascii="Arial" w:hAnsi="Arial"/>
          <w:b w:val="0"/>
          <w:i/>
          <w:color w:val="5E6A62"/>
          <w:sz w:val="18"/>
        </w:rPr>
        <w:t>Consultadas el 16 de agosto de 2026. Enlaces directos a la fuente utilizada.</w:t>
      </w:r>
    </w:p>
    <w:p>
      <w:pPr>
        <w:spacing w:after="140" w:line="252" w:lineRule="auto"/>
        <w:ind w:left="346" w:hanging="346"/>
      </w:pPr>
      <w:r>
        <w:rPr>
          <w:rFonts w:ascii="Arial" w:hAnsi="Arial"/>
          <w:b w:val="0"/>
          <w:i w:val="0"/>
          <w:color w:val="18221B"/>
          <w:sz w:val="17"/>
        </w:rPr>
        <w:t>[1] Servicio Nacional de Aprendizaje SENA. (s. f.). Guía de aprendizaje: fase de planeación, actividad GA3-220501093-AA3, pp. 8–9. https://archivos.territorio.la/archivos/clases/Guianaprendizajen3___58631be32843215___.pdf</w:t>
      </w:r>
    </w:p>
    <w:p>
      <w:pPr>
        <w:spacing w:after="140" w:line="252" w:lineRule="auto"/>
        <w:ind w:left="346" w:hanging="346"/>
      </w:pPr>
      <w:r>
        <w:rPr>
          <w:rFonts w:ascii="Arial" w:hAnsi="Arial"/>
          <w:b w:val="0"/>
          <w:i w:val="0"/>
          <w:color w:val="18221B"/>
          <w:sz w:val="17"/>
        </w:rPr>
        <w:t>[2] Ecma International. (2026). ECMAScript Language Specification (ECMA-262). https://tc39.es/ecma262/</w:t>
      </w:r>
    </w:p>
    <w:p>
      <w:pPr>
        <w:spacing w:after="140" w:line="252" w:lineRule="auto"/>
        <w:ind w:left="346" w:hanging="346"/>
      </w:pPr>
      <w:r>
        <w:rPr>
          <w:rFonts w:ascii="Arial" w:hAnsi="Arial"/>
          <w:b w:val="0"/>
          <w:i w:val="0"/>
          <w:color w:val="18221B"/>
          <w:sz w:val="17"/>
        </w:rPr>
        <w:t>[3] MDN Web Docs. (2025). JavaScript language overview. https://developer.mozilla.org/en-US/docs/Web/JavaScript/Guide/Language_overview</w:t>
      </w:r>
    </w:p>
    <w:p>
      <w:pPr>
        <w:spacing w:after="140" w:line="252" w:lineRule="auto"/>
        <w:ind w:left="346" w:hanging="346"/>
      </w:pPr>
      <w:r>
        <w:rPr>
          <w:rFonts w:ascii="Arial" w:hAnsi="Arial"/>
          <w:b w:val="0"/>
          <w:i w:val="0"/>
          <w:color w:val="18221B"/>
          <w:sz w:val="17"/>
        </w:rPr>
        <w:t>[4] MDN Web Docs. (2025). JavaScript data types and data structures. https://developer.mozilla.org/en-US/docs/Web/JavaScript/Guide/Data_structures</w:t>
      </w:r>
    </w:p>
    <w:p>
      <w:pPr>
        <w:spacing w:after="140" w:line="252" w:lineRule="auto"/>
        <w:ind w:left="346" w:hanging="346"/>
      </w:pPr>
      <w:r>
        <w:rPr>
          <w:rFonts w:ascii="Arial" w:hAnsi="Arial"/>
          <w:b w:val="0"/>
          <w:i w:val="0"/>
          <w:color w:val="18221B"/>
          <w:sz w:val="17"/>
        </w:rPr>
        <w:t>[5] MDN Web Docs. (2025). Compile. https://developer.mozilla.org/en-US/docs/Glossary/Compile</w:t>
      </w:r>
    </w:p>
    <w:p>
      <w:pPr>
        <w:spacing w:after="140" w:line="252" w:lineRule="auto"/>
        <w:ind w:left="346" w:hanging="346"/>
      </w:pPr>
      <w:r>
        <w:rPr>
          <w:rFonts w:ascii="Arial" w:hAnsi="Arial"/>
          <w:b w:val="0"/>
          <w:i w:val="0"/>
          <w:color w:val="18221B"/>
          <w:sz w:val="17"/>
        </w:rPr>
        <w:t>[6] MDN Web Docs. (2025). Expressions and operators. https://developer.mozilla.org/en-US/docs/Web/JavaScript/Guide/Expressions_and_operators</w:t>
      </w:r>
    </w:p>
    <w:p>
      <w:pPr>
        <w:spacing w:after="140" w:line="252" w:lineRule="auto"/>
        <w:ind w:left="346" w:hanging="346"/>
      </w:pPr>
      <w:r>
        <w:rPr>
          <w:rFonts w:ascii="Arial" w:hAnsi="Arial"/>
          <w:b w:val="0"/>
          <w:i w:val="0"/>
          <w:color w:val="18221B"/>
          <w:sz w:val="17"/>
        </w:rPr>
        <w:t>[7] V8 Project. (2017). Launching Ignition and TurboFan. https://v8.dev/blog/launching-ignition-and-turbofan</w:t>
      </w:r>
    </w:p>
    <w:p>
      <w:pPr>
        <w:spacing w:before="80" w:after="60"/>
      </w:pPr>
      <w:r>
        <w:rPr>
          <w:rFonts w:ascii="Arial" w:hAnsi="Arial"/>
          <w:b/>
          <w:i w:val="0"/>
          <w:color w:val="174C2C"/>
          <w:sz w:val="24"/>
        </w:rPr>
        <w:t>Procedencia de las ilustraciones</w:t>
      </w:r>
    </w:p>
    <w:p>
      <w:pPr>
        <w:spacing w:line="264" w:lineRule="auto" w:after="120"/>
        <w:jc w:val="both"/>
      </w:pPr>
      <w:r>
        <w:rPr>
          <w:rFonts w:ascii="Arial" w:hAnsi="Arial"/>
          <w:b w:val="0"/>
          <w:i w:val="0"/>
          <w:color w:val="18221B"/>
          <w:sz w:val="18"/>
        </w:rPr>
        <w:t>Las figuras 1–4 son elaboración propia generada específicamente para esta evidencia. No contienen imágenes, logotipos ni capturas de terceros. Sus pies señalan las fuentes conceptuales que sustentan cada representación.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4F8397"/>
                <w:sz w:val="16"/>
              </w:rPr>
              <w:t>CONTROL DE VERSIÓN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8221B"/>
                <w:sz w:val="18"/>
              </w:rPr>
              <w:t>La edición pública y la edición completa local comparten exactamente este desarrollo académico. Únicamente cambian la portada y los metadatos del documento.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792" w:left="979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174C2C"/>
        <w:sz w:val="16"/>
      </w:rPr>
      <w:t>SENA · EVIDENCIA DE CONOCIMIENTO</w:t>
    </w:r>
    <w:r>
      <w:rPr>
        <w:rFonts w:ascii="Arial" w:hAnsi="Arial"/>
        <w:b/>
        <w:color w:val="174C2C"/>
        <w:sz w:val="16"/>
      </w:rPr>
      <w:t xml:space="preserve">                                                        GA3-220501093-AA3-EV01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teóricas de estructuras de almacenamiento en memoria</dc:title>
  <dc:subject>GA3-220501093-AA3-EV01</dc:subject>
  <dc:creator>Entrega académica pública</dc:creator>
  <cp:keywords>JavaScript, ECMAScript, tipos primitivos, operadores</cp:keywords>
  <dc:description>generated by python-docx</dc:description>
  <cp:lastModifiedBy>Entrega académica pública</cp:lastModifiedBy>
  <cp:revision>1</cp:revision>
  <dcterms:created xsi:type="dcterms:W3CDTF">2013-12-23T23:15:00Z</dcterms:created>
  <dcterms:modified xsi:type="dcterms:W3CDTF">2013-12-23T23:15:00Z</dcterms:modified>
  <cp:category/>
</cp:coreProperties>
</file>