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80" w:after="180"/>
        <w:jc w:val="center"/>
        <w:rPr/>
      </w:pPr>
      <w:bookmarkStart w:id="0" w:name="__RefHeading___Toc7486_1562581415"/>
      <w:bookmarkEnd w:id="0"/>
      <w:r>
        <mc:AlternateContent>
          <mc:Choice Requires="wps">
            <w:drawing>
              <wp:anchor distT="0" distB="0" distL="0" distR="0" simplePos="0" relativeHeight="2" behindDoc="1" locked="0" layoutInCell="1" allowOverlap="1">
                <wp:simplePos x="0" y="0"/>
                <wp:positionH relativeFrom="column">
                  <wp:posOffset>-1081405</wp:posOffset>
                </wp:positionH>
                <wp:positionV relativeFrom="paragraph">
                  <wp:posOffset>-913765</wp:posOffset>
                </wp:positionV>
                <wp:extent cx="7938770" cy="10058400"/>
                <wp:effectExtent l="0" t="0" r="0" b="0"/>
                <wp:wrapNone/>
                <wp:docPr id="1" name="Frame1"/>
                <a:graphic xmlns:a="http://schemas.openxmlformats.org/drawingml/2006/main">
                  <a:graphicData uri="http://schemas.microsoft.com/office/word/2010/wordprocessingShape">
                    <wps:wsp>
                      <wps:cNvSpPr/>
                      <wps:spPr>
                        <a:xfrm>
                          <a:off x="0" y="0"/>
                          <a:ext cx="7938720" cy="10058400"/>
                        </a:xfrm>
                        <a:prstGeom prst="rect">
                          <a:avLst/>
                        </a:prstGeom>
                        <a:solidFill>
                          <a:schemeClr val="lt2">
                            <a:lumOff val="0"/>
                          </a:schemeClr>
                        </a:solidFill>
                        <a:ln w="0">
                          <a:solidFill>
                            <a:srgbClr val="000000"/>
                          </a:solidFill>
                        </a:ln>
                      </wps:spPr>
                      <wps:style>
                        <a:lnRef idx="0"/>
                        <a:fillRef idx="0"/>
                        <a:effectRef idx="0"/>
                        <a:fontRef idx="minor"/>
                      </wps:style>
                      <wps:txbx>
                        <w:txbxContent>
                          <w:p>
                            <w:pPr>
                              <w:pStyle w:val="FrameContentsuser"/>
                              <w:spacing w:before="0" w:after="200"/>
                              <w:rPr/>
                            </w:pPr>
                            <w:r>
                              <w:rPr/>
                            </w:r>
                          </w:p>
                        </w:txbxContent>
                      </wps:txbx>
                      <wps:bodyPr lIns="54000" tIns="54000" rIns="54000" bIns="54000" anchor="t">
                        <a:noAutofit/>
                      </wps:bodyPr>
                    </wps:wsp>
                  </a:graphicData>
                </a:graphic>
              </wp:anchor>
            </w:drawing>
          </mc:Choice>
          <mc:Fallback>
            <w:pict>
              <v:rect id="shape_0" fillcolor="#e8e8e8" stroked="t" o:allowincell="f" style="position:absolute;margin-left:-85.15pt;margin-top:-71.95pt;width:625.05pt;height:791.95pt;mso-wrap-style:none;v-text-anchor:middle">
                <v:fill o:detectmouseclick="t" type="solid" color2="#171717"/>
                <v:stroke color="black" joinstyle="round" endcap="flat"/>
                <v:textbox>
                  <w:txbxContent>
                    <w:p>
                      <w:pPr>
                        <w:pStyle w:val="FrameContentsuser"/>
                        <w:spacing w:before="0" w:after="200"/>
                        <w:rPr/>
                      </w:pPr>
                      <w:r>
                        <w:rPr/>
                      </w:r>
                    </w:p>
                  </w:txbxContent>
                </v:textbox>
                <w10:wrap type="none"/>
              </v:rect>
            </w:pict>
          </mc:Fallback>
        </mc:AlternateContent>
      </w:r>
      <w:r>
        <w:rPr/>
        <w:t>MASINDE MULIRO UNIVERSITY OF SCIENCE AMD TECHNOLOGY</w:t>
      </w:r>
    </w:p>
    <w:p>
      <w:pPr>
        <w:pStyle w:val="BodyText"/>
        <w:jc w:val="center"/>
        <w:rPr/>
      </w:pPr>
      <w:bookmarkStart w:id="1" w:name="__RefHeading___Toc7488_1562581415"/>
      <w:bookmarkStart w:id="2" w:name="X3ff6600431c953c4c5900e11d7299d2e8218c69"/>
      <w:bookmarkEnd w:id="1"/>
      <w:r>
        <w:rPr/>
        <w:t>AISHA: AI POWERED INDUSTRIAL ATTACHMENT MATCHING PLATFORM</w:t>
      </w:r>
    </w:p>
    <w:p>
      <w:pPr>
        <w:pStyle w:val="BodyText"/>
        <w:jc w:val="center"/>
        <w:rPr/>
      </w:pPr>
      <w:r>
        <w:rPr/>
        <w:t>BIT 420 IT PROJECT II</w:t>
      </w:r>
    </w:p>
    <w:p>
      <w:pPr>
        <w:pStyle w:val="BodyText"/>
        <w:jc w:val="center"/>
        <w:rPr/>
      </w:pPr>
      <w:bookmarkStart w:id="3" w:name="__RefHeading___Toc7490_1562581415"/>
      <w:bookmarkStart w:id="4" w:name="comprehensive-project-report"/>
      <w:bookmarkEnd w:id="3"/>
      <w:r>
        <w:rPr/>
        <w:t xml:space="preserve"> </w:t>
      </w:r>
      <w:r>
        <w:rPr/>
        <w:t>PROJECT REPORT</w:t>
      </w:r>
    </w:p>
    <w:p>
      <w:pPr>
        <w:pStyle w:val="Heading3"/>
        <w:shd w:val="clear" w:fill="auto"/>
        <w:spacing w:lineRule="auto" w:line="276"/>
        <w:jc w:val="center"/>
        <w:rPr>
          <w:rFonts w:ascii="Times New Roman" w:hAnsi="Times New Roman"/>
          <w:color w:val="000000"/>
          <w:sz w:val="36"/>
          <w:szCs w:val="36"/>
        </w:rPr>
      </w:pPr>
      <w:r>
        <w:rPr>
          <w:rFonts w:ascii="Times New Roman" w:hAnsi="Times New Roman"/>
          <w:color w:val="000000"/>
          <w:sz w:val="36"/>
          <w:szCs w:val="36"/>
        </w:rPr>
      </w:r>
      <w:bookmarkStart w:id="5" w:name="X5f17d038a3e4ca654bc2e51b2b025e387a67071"/>
    </w:p>
    <w:p>
      <w:pPr>
        <w:pStyle w:val="BodyText"/>
        <w:shd w:val="clear" w:fill="auto"/>
        <w:spacing w:lineRule="auto" w:line="276"/>
        <w:jc w:val="center"/>
        <w:rPr>
          <w:color w:val="000000"/>
          <w:sz w:val="36"/>
          <w:szCs w:val="36"/>
        </w:rPr>
      </w:pPr>
      <w:r>
        <w:rPr>
          <w:rFonts w:ascii="Times New Roman" w:hAnsi="Times New Roman"/>
          <w:b/>
          <w:bCs/>
          <w:color w:val="000000"/>
          <w:sz w:val="36"/>
          <w:szCs w:val="36"/>
        </w:rPr>
        <w:t>Submitted by:</w:t>
      </w:r>
      <w:r>
        <w:rPr>
          <w:rFonts w:ascii="Times New Roman" w:hAnsi="Times New Roman"/>
          <w:b w:val="false"/>
          <w:bCs/>
          <w:color w:val="000000"/>
          <w:sz w:val="36"/>
          <w:szCs w:val="36"/>
        </w:rPr>
        <w:br/>
        <w:br/>
      </w:r>
      <w:r>
        <w:rPr>
          <w:rFonts w:ascii="Times New Roman" w:hAnsi="Times New Roman"/>
          <w:b w:val="false"/>
          <w:bCs/>
          <w:i w:val="false"/>
          <w:caps w:val="false"/>
          <w:smallCaps w:val="false"/>
          <w:color w:val="000000"/>
          <w:spacing w:val="0"/>
          <w:sz w:val="36"/>
          <w:szCs w:val="36"/>
        </w:rPr>
        <w:t>Brian Ndinya</w:t>
      </w:r>
    </w:p>
    <w:p>
      <w:pPr>
        <w:pStyle w:val="Normal"/>
        <w:shd w:val="clear" w:fill="auto"/>
        <w:spacing w:lineRule="auto" w:line="276"/>
        <w:jc w:val="center"/>
        <w:rPr>
          <w:color w:val="000000"/>
          <w:sz w:val="36"/>
          <w:szCs w:val="36"/>
        </w:rPr>
      </w:pPr>
      <w:r>
        <w:rPr>
          <w:rFonts w:ascii="Times New Roman" w:hAnsi="Times New Roman"/>
          <w:b w:val="false"/>
          <w:i w:val="false"/>
          <w:caps w:val="false"/>
          <w:smallCaps w:val="false"/>
          <w:color w:val="000000"/>
          <w:spacing w:val="0"/>
          <w:sz w:val="36"/>
          <w:szCs w:val="36"/>
        </w:rPr>
        <w:t>Joshua Omondi</w:t>
      </w:r>
    </w:p>
    <w:p>
      <w:pPr>
        <w:pStyle w:val="BodyText"/>
        <w:shd w:val="clear" w:fill="auto"/>
        <w:spacing w:lineRule="auto" w:line="276"/>
        <w:jc w:val="center"/>
        <w:rPr>
          <w:color w:val="000000"/>
          <w:sz w:val="36"/>
          <w:szCs w:val="36"/>
        </w:rPr>
      </w:pPr>
      <w:r>
        <w:rPr>
          <w:rFonts w:ascii="Times New Roman" w:hAnsi="Times New Roman"/>
          <w:color w:val="000000"/>
          <w:sz w:val="36"/>
          <w:szCs w:val="36"/>
        </w:rPr>
        <w:t>Emmauel Muchina</w:t>
      </w:r>
    </w:p>
    <w:p>
      <w:pPr>
        <w:pStyle w:val="Normal"/>
        <w:shd w:val="clear" w:fill="auto"/>
        <w:spacing w:lineRule="auto" w:line="276"/>
        <w:jc w:val="center"/>
        <w:rPr>
          <w:color w:val="000000"/>
          <w:sz w:val="36"/>
          <w:szCs w:val="36"/>
        </w:rPr>
      </w:pPr>
      <w:r>
        <w:rPr>
          <w:rFonts w:ascii="Times New Roman" w:hAnsi="Times New Roman"/>
          <w:b w:val="false"/>
          <w:color w:val="000000"/>
          <w:sz w:val="36"/>
          <w:szCs w:val="36"/>
        </w:rPr>
        <w:t>Obadia Kipngetich</w:t>
      </w:r>
    </w:p>
    <w:p>
      <w:pPr>
        <w:pStyle w:val="BodyText"/>
        <w:shd w:val="clear" w:fill="auto"/>
        <w:spacing w:lineRule="auto" w:line="276"/>
        <w:jc w:val="center"/>
        <w:rPr>
          <w:rFonts w:ascii="Times New Roman" w:hAnsi="Times New Roman"/>
          <w:color w:val="000000"/>
          <w:sz w:val="36"/>
          <w:szCs w:val="36"/>
        </w:rPr>
      </w:pPr>
      <w:r>
        <w:rPr>
          <w:rFonts w:ascii="Times New Roman" w:hAnsi="Times New Roman"/>
          <w:color w:val="000000"/>
          <w:sz w:val="36"/>
          <w:szCs w:val="36"/>
        </w:rPr>
      </w:r>
    </w:p>
    <w:p>
      <w:pPr>
        <w:pStyle w:val="BodyText"/>
        <w:shd w:val="clear" w:fill="auto"/>
        <w:spacing w:lineRule="auto" w:line="276"/>
        <w:jc w:val="center"/>
        <w:rPr>
          <w:color w:val="000000"/>
          <w:sz w:val="36"/>
          <w:szCs w:val="36"/>
        </w:rPr>
      </w:pPr>
      <w:r>
        <w:rPr>
          <w:rFonts w:ascii="Times New Roman" w:hAnsi="Times New Roman"/>
          <w:b/>
          <w:bCs/>
          <w:color w:val="000000"/>
          <w:sz w:val="36"/>
          <w:szCs w:val="36"/>
        </w:rPr>
        <w:t>Supervised by:</w:t>
      </w:r>
      <w:r>
        <w:rPr>
          <w:rFonts w:ascii="Times New Roman" w:hAnsi="Times New Roman"/>
          <w:color w:val="000000"/>
          <w:sz w:val="36"/>
          <w:szCs w:val="36"/>
        </w:rPr>
        <w:t xml:space="preserve"> Dr. Charles Muango (Industrial Attachment Coordinator, MMUST)</w:t>
      </w:r>
    </w:p>
    <w:p>
      <w:pPr>
        <w:pStyle w:val="BodyText"/>
        <w:shd w:val="clear" w:fill="auto"/>
        <w:spacing w:lineRule="auto" w:line="276"/>
        <w:jc w:val="center"/>
        <w:rPr>
          <w:color w:val="000000"/>
          <w:sz w:val="36"/>
          <w:szCs w:val="36"/>
        </w:rPr>
      </w:pPr>
      <w:r>
        <w:rPr>
          <w:rFonts w:ascii="Times New Roman" w:hAnsi="Times New Roman"/>
          <w:b/>
          <w:bCs/>
          <w:color w:val="000000"/>
          <w:sz w:val="36"/>
          <w:szCs w:val="36"/>
        </w:rPr>
        <w:t>Date of Submission:</w:t>
      </w:r>
      <w:r>
        <w:rPr>
          <w:rFonts w:ascii="Times New Roman" w:hAnsi="Times New Roman"/>
          <w:color w:val="000000"/>
          <w:sz w:val="36"/>
          <w:szCs w:val="36"/>
        </w:rPr>
        <w:t xml:space="preserve"> May 2026</w:t>
      </w:r>
      <w:bookmarkEnd w:id="2"/>
      <w:bookmarkEnd w:id="4"/>
      <w:bookmarkEnd w:id="5"/>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7492_1562581415" w:tooltip="ABSTRACT / EXECUTIVE SUMMARY">
            <w:r>
              <w:rPr>
                <w:rStyle w:val="IndexLink"/>
              </w:rPr>
              <w:t>ABSTRACT / EXECUTIVE SUMMARY</w:t>
              <w:tab/>
              <w:t>1</w:t>
            </w:r>
          </w:hyperlink>
        </w:p>
        <w:p>
          <w:pPr>
            <w:pStyle w:val="TOC1"/>
            <w:tabs>
              <w:tab w:val="clear" w:pos="9360"/>
              <w:tab w:val="right" w:pos="9359" w:leader="dot"/>
            </w:tabs>
            <w:rPr/>
          </w:pPr>
          <w:hyperlink w:anchor="__RefHeading___Toc7494_1562581415" w:tooltip="ACKNOWLEDGEMENTS">
            <w:r>
              <w:rPr>
                <w:rStyle w:val="IndexLink"/>
              </w:rPr>
              <w:t>ACKNOWLEDGEMENTS</w:t>
              <w:tab/>
              <w:t>1</w:t>
            </w:r>
          </w:hyperlink>
        </w:p>
        <w:p>
          <w:pPr>
            <w:pStyle w:val="TOC1"/>
            <w:tabs>
              <w:tab w:val="clear" w:pos="9360"/>
              <w:tab w:val="right" w:pos="9359" w:leader="dot"/>
            </w:tabs>
            <w:rPr/>
          </w:pPr>
          <w:hyperlink w:anchor="__RefHeading___Toc7496_1562581415" w:tooltip="LIST OF TABLES">
            <w:r>
              <w:rPr>
                <w:rStyle w:val="IndexLink"/>
              </w:rPr>
              <w:t>LIST OF TABLES</w:t>
              <w:tab/>
              <w:t>1</w:t>
            </w:r>
          </w:hyperlink>
        </w:p>
        <w:p>
          <w:pPr>
            <w:pStyle w:val="TOC1"/>
            <w:tabs>
              <w:tab w:val="clear" w:pos="9360"/>
              <w:tab w:val="right" w:pos="9359" w:leader="dot"/>
            </w:tabs>
            <w:rPr/>
          </w:pPr>
          <w:hyperlink w:anchor="__RefHeading___Toc7498_1562581415" w:tooltip="LIST OF FIGURES">
            <w:r>
              <w:rPr>
                <w:rStyle w:val="IndexLink"/>
              </w:rPr>
              <w:t>LIST OF FIGURES</w:t>
              <w:tab/>
              <w:t>1</w:t>
            </w:r>
          </w:hyperlink>
        </w:p>
        <w:p>
          <w:pPr>
            <w:pStyle w:val="TOC1"/>
            <w:tabs>
              <w:tab w:val="clear" w:pos="9360"/>
              <w:tab w:val="right" w:pos="9359" w:leader="dot"/>
            </w:tabs>
            <w:rPr/>
          </w:pPr>
          <w:hyperlink w:anchor="__RefHeading___Toc7500_1562581415" w:tooltip="LIST OF ABBREVIATIONS">
            <w:r>
              <w:rPr>
                <w:rStyle w:val="IndexLink"/>
              </w:rPr>
              <w:t>LIST OF ABBREVIATIONS</w:t>
              <w:tab/>
              <w:t>1</w:t>
            </w:r>
          </w:hyperlink>
        </w:p>
        <w:p>
          <w:pPr>
            <w:pStyle w:val="TOC1"/>
            <w:tabs>
              <w:tab w:val="clear" w:pos="9360"/>
              <w:tab w:val="right" w:pos="9359" w:leader="dot"/>
            </w:tabs>
            <w:rPr/>
          </w:pPr>
          <w:hyperlink w:anchor="__RefHeading___Toc7502_1562581415" w:tooltip="CHAPTER 1: INTRODUCTION">
            <w:r>
              <w:rPr>
                <w:rStyle w:val="IndexLink"/>
              </w:rPr>
              <w:t>CHAPTER 1: INTRODUCTION</w:t>
              <w:tab/>
              <w:t>2</w:t>
            </w:r>
          </w:hyperlink>
        </w:p>
        <w:p>
          <w:pPr>
            <w:pStyle w:val="TOC2"/>
            <w:tabs>
              <w:tab w:val="clear" w:pos="9077"/>
              <w:tab w:val="right" w:pos="9359" w:leader="dot"/>
            </w:tabs>
            <w:rPr/>
          </w:pPr>
          <w:hyperlink w:anchor="__RefHeading___Toc7504_1562581415" w:tooltip="1.1 Detailed Background of the Study">
            <w:r>
              <w:rPr>
                <w:rStyle w:val="IndexLink"/>
              </w:rPr>
              <w:t>1.1 Detailed Background of the Study</w:t>
              <w:tab/>
              <w:t>2</w:t>
            </w:r>
          </w:hyperlink>
        </w:p>
        <w:p>
          <w:pPr>
            <w:pStyle w:val="TOC2"/>
            <w:tabs>
              <w:tab w:val="clear" w:pos="9077"/>
              <w:tab w:val="right" w:pos="9359" w:leader="dot"/>
            </w:tabs>
            <w:rPr/>
          </w:pPr>
          <w:hyperlink w:anchor="__RefHeading___Toc7506_1562581415" w:tooltip="1.2 Comprehensive Problem Statement">
            <w:r>
              <w:rPr>
                <w:rStyle w:val="IndexLink"/>
              </w:rPr>
              <w:t>1.2 Comprehensive Problem Statement</w:t>
              <w:tab/>
              <w:t>3</w:t>
            </w:r>
          </w:hyperlink>
        </w:p>
        <w:p>
          <w:pPr>
            <w:pStyle w:val="TOC2"/>
            <w:tabs>
              <w:tab w:val="clear" w:pos="9077"/>
              <w:tab w:val="right" w:pos="9359" w:leader="dot"/>
            </w:tabs>
            <w:rPr/>
          </w:pPr>
          <w:hyperlink w:anchor="__RefHeading___Toc7508_1562581415" w:tooltip="1.3 Strategic Objectives and Project Goals">
            <w:r>
              <w:rPr>
                <w:rStyle w:val="IndexLink"/>
              </w:rPr>
              <w:t>1.3 Strategic Objectives and Project Goals</w:t>
              <w:tab/>
              <w:t>3</w:t>
            </w:r>
          </w:hyperlink>
        </w:p>
        <w:p>
          <w:pPr>
            <w:pStyle w:val="TOC2"/>
            <w:tabs>
              <w:tab w:val="clear" w:pos="9077"/>
              <w:tab w:val="right" w:pos="9359" w:leader="dot"/>
            </w:tabs>
            <w:rPr/>
          </w:pPr>
          <w:hyperlink w:anchor="__RefHeading___Toc7510_1562581415" w:tooltip="1.4 Justification and Expected Impact">
            <w:r>
              <w:rPr>
                <w:rStyle w:val="IndexLink"/>
              </w:rPr>
              <w:t>1.4 Justification and Expected Impact</w:t>
              <w:tab/>
              <w:t>4</w:t>
            </w:r>
          </w:hyperlink>
        </w:p>
        <w:p>
          <w:pPr>
            <w:pStyle w:val="TOC2"/>
            <w:tabs>
              <w:tab w:val="clear" w:pos="9077"/>
              <w:tab w:val="right" w:pos="9359" w:leader="dot"/>
            </w:tabs>
            <w:rPr/>
          </w:pPr>
          <w:hyperlink w:anchor="__RefHeading___Toc7512_1562581415" w:tooltip="1.5 Project Scope and Technical Constraints">
            <w:r>
              <w:rPr>
                <w:rStyle w:val="IndexLink"/>
              </w:rPr>
              <w:t>1.5 Project Scope and Technical Constraints</w:t>
              <w:tab/>
              <w:t>4</w:t>
            </w:r>
          </w:hyperlink>
        </w:p>
        <w:p>
          <w:pPr>
            <w:pStyle w:val="TOC1"/>
            <w:tabs>
              <w:tab w:val="clear" w:pos="9360"/>
              <w:tab w:val="right" w:pos="9359" w:leader="dot"/>
            </w:tabs>
            <w:rPr/>
          </w:pPr>
          <w:hyperlink w:anchor="__RefHeading___Toc7514_1562581415" w:tooltip="CHAPTER 2: LITERATURE REVIEW">
            <w:r>
              <w:rPr>
                <w:rStyle w:val="IndexLink"/>
              </w:rPr>
              <w:t>CHAPTER 2: LITERATURE REVIEW</w:t>
              <w:tab/>
              <w:t>4</w:t>
            </w:r>
          </w:hyperlink>
        </w:p>
        <w:p>
          <w:pPr>
            <w:pStyle w:val="TOC2"/>
            <w:tabs>
              <w:tab w:val="clear" w:pos="9077"/>
              <w:tab w:val="right" w:pos="9359" w:leader="dot"/>
            </w:tabs>
            <w:rPr/>
          </w:pPr>
          <w:hyperlink w:anchor="__RefHeading___Toc7516_1562581415" w:tooltip="2.1 The Historical Context of Industrial Training">
            <w:r>
              <w:rPr>
                <w:rStyle w:val="IndexLink"/>
              </w:rPr>
              <w:t>2.1 The Historical Context of Industrial Training</w:t>
              <w:tab/>
              <w:t>4</w:t>
            </w:r>
          </w:hyperlink>
        </w:p>
        <w:p>
          <w:pPr>
            <w:pStyle w:val="TOC2"/>
            <w:tabs>
              <w:tab w:val="clear" w:pos="9077"/>
              <w:tab w:val="right" w:pos="9359" w:leader="dot"/>
            </w:tabs>
            <w:rPr/>
          </w:pPr>
          <w:hyperlink w:anchor="__RefHeading___Toc7518_1562581415" w:tooltip="2.2 The Three Phases of Placement System Evolution">
            <w:r>
              <w:rPr>
                <w:rStyle w:val="IndexLink"/>
              </w:rPr>
              <w:t>2.2 The Three Phases of Placement System Evolution</w:t>
              <w:tab/>
              <w:t>4</w:t>
            </w:r>
          </w:hyperlink>
        </w:p>
        <w:p>
          <w:pPr>
            <w:pStyle w:val="TOC2"/>
            <w:tabs>
              <w:tab w:val="clear" w:pos="9077"/>
              <w:tab w:val="right" w:pos="9359" w:leader="dot"/>
            </w:tabs>
            <w:rPr/>
          </w:pPr>
          <w:hyperlink w:anchor="__RefHeading___Toc7520_1562581415" w:tooltip="2.3 The Impact of Artificial Intelligence on Professional Matching">
            <w:r>
              <w:rPr>
                <w:rStyle w:val="IndexLink"/>
              </w:rPr>
              <w:t>2.3 The Impact of Artificial Intelligence on Professional Matching</w:t>
              <w:tab/>
              <w:t>5</w:t>
            </w:r>
          </w:hyperlink>
        </w:p>
        <w:p>
          <w:pPr>
            <w:pStyle w:val="TOC2"/>
            <w:tabs>
              <w:tab w:val="clear" w:pos="9077"/>
              <w:tab w:val="right" w:pos="9359" w:leader="dot"/>
            </w:tabs>
            <w:rPr/>
          </w:pPr>
          <w:hyperlink w:anchor="__RefHeading___Toc7522_1562581415" w:tooltip="2.4 Digital Monitoring and the Learning Loop">
            <w:r>
              <w:rPr>
                <w:rStyle w:val="IndexLink"/>
              </w:rPr>
              <w:t>2.4 Digital Monitoring and the Learning Loop</w:t>
              <w:tab/>
              <w:t>5</w:t>
            </w:r>
          </w:hyperlink>
        </w:p>
        <w:p>
          <w:pPr>
            <w:pStyle w:val="TOC2"/>
            <w:tabs>
              <w:tab w:val="clear" w:pos="9077"/>
              <w:tab w:val="right" w:pos="9359" w:leader="dot"/>
            </w:tabs>
            <w:rPr/>
          </w:pPr>
          <w:hyperlink w:anchor="__RefHeading___Toc7524_1562581415" w:tooltip="2.5 Security, Persistence, and the Cloud Native Shift">
            <w:r>
              <w:rPr>
                <w:rStyle w:val="IndexLink"/>
              </w:rPr>
              <w:t>2.5 Security, Persistence, and the Cloud Native Shift</w:t>
              <w:tab/>
              <w:t>5</w:t>
            </w:r>
          </w:hyperlink>
        </w:p>
        <w:p>
          <w:pPr>
            <w:pStyle w:val="TOC2"/>
            <w:tabs>
              <w:tab w:val="clear" w:pos="9077"/>
              <w:tab w:val="right" w:pos="9359" w:leader="dot"/>
            </w:tabs>
            <w:rPr/>
          </w:pPr>
          <w:hyperlink w:anchor="__RefHeading___Toc7526_1562581415" w:tooltip="2.6 Identifying the Gap: Why AISHA is Unique">
            <w:r>
              <w:rPr>
                <w:rStyle w:val="IndexLink"/>
              </w:rPr>
              <w:t>2.6 Identifying the Gap: Why AISHA is Unique</w:t>
              <w:tab/>
              <w:t>5</w:t>
            </w:r>
          </w:hyperlink>
        </w:p>
        <w:p>
          <w:pPr>
            <w:pStyle w:val="TOC1"/>
            <w:tabs>
              <w:tab w:val="clear" w:pos="9360"/>
              <w:tab w:val="right" w:pos="9359" w:leader="dot"/>
            </w:tabs>
            <w:rPr/>
          </w:pPr>
          <w:hyperlink w:anchor="__RefHeading___Toc7528_1562581415" w:tooltip="CHAPTER 3: METHODOLOGY">
            <w:r>
              <w:rPr>
                <w:rStyle w:val="IndexLink"/>
              </w:rPr>
              <w:t>CHAPTER 3: METHODOLOGY</w:t>
              <w:tab/>
              <w:t>6</w:t>
            </w:r>
          </w:hyperlink>
        </w:p>
        <w:p>
          <w:pPr>
            <w:pStyle w:val="TOC2"/>
            <w:tabs>
              <w:tab w:val="clear" w:pos="9077"/>
              <w:tab w:val="right" w:pos="9359" w:leader="dot"/>
            </w:tabs>
            <w:rPr/>
          </w:pPr>
          <w:hyperlink w:anchor="__RefHeading___Toc7530_1562581415" w:tooltip="3.1 The Agile Development Philosophy and Scrum Framework">
            <w:r>
              <w:rPr>
                <w:rStyle w:val="IndexLink"/>
              </w:rPr>
              <w:t>3.1 The Agile Development Philosophy and Scrum Framework</w:t>
              <w:tab/>
              <w:t>6</w:t>
            </w:r>
          </w:hyperlink>
        </w:p>
        <w:p>
          <w:pPr>
            <w:pStyle w:val="TOC2"/>
            <w:tabs>
              <w:tab w:val="clear" w:pos="9077"/>
              <w:tab w:val="right" w:pos="9359" w:leader="dot"/>
            </w:tabs>
            <w:rPr/>
          </w:pPr>
          <w:hyperlink w:anchor="__RefHeading___Toc7532_1562581415" w:tooltip="3.2 Visualizing the SDLC Model">
            <w:r>
              <w:rPr>
                <w:rStyle w:val="IndexLink"/>
              </w:rPr>
              <w:t>3.2 Visualizing the SDLC Model</w:t>
              <w:tab/>
              <w:t>6</w:t>
            </w:r>
          </w:hyperlink>
        </w:p>
        <w:p>
          <w:pPr>
            <w:pStyle w:val="TOC2"/>
            <w:tabs>
              <w:tab w:val="clear" w:pos="9077"/>
              <w:tab w:val="right" w:pos="9359" w:leader="dot"/>
            </w:tabs>
            <w:rPr/>
          </w:pPr>
          <w:hyperlink w:anchor="__RefHeading___Toc7534_1562581415" w:tooltip="3.3 Comprehensive System Analysis and Stakeholder Engagement">
            <w:r>
              <w:rPr>
                <w:rStyle w:val="IndexLink"/>
              </w:rPr>
              <w:t>3.3 Comprehensive System Analysis and Stakeholder Engagement</w:t>
              <w:tab/>
              <w:t>6</w:t>
            </w:r>
          </w:hyperlink>
        </w:p>
        <w:p>
          <w:pPr>
            <w:pStyle w:val="TOC2"/>
            <w:tabs>
              <w:tab w:val="clear" w:pos="9077"/>
              <w:tab w:val="right" w:pos="9359" w:leader="dot"/>
            </w:tabs>
            <w:rPr/>
          </w:pPr>
          <w:hyperlink w:anchor="__RefHeading___Toc7536_1562581415" w:tooltip="3.4 The Intelligent Matching Workflow and 24 Hour Window">
            <w:r>
              <w:rPr>
                <w:rStyle w:val="IndexLink"/>
              </w:rPr>
              <w:t>3.4 The Intelligent Matching Workflow and 24 Hour Window</w:t>
              <w:tab/>
              <w:t>7</w:t>
            </w:r>
          </w:hyperlink>
        </w:p>
        <w:p>
          <w:pPr>
            <w:pStyle w:val="TOC2"/>
            <w:tabs>
              <w:tab w:val="clear" w:pos="9077"/>
              <w:tab w:val="right" w:pos="9359" w:leader="dot"/>
            </w:tabs>
            <w:rPr/>
          </w:pPr>
          <w:hyperlink w:anchor="__RefHeading___Toc7538_1562581415" w:tooltip="3.5 Technical Deviations and Architectural Pivots">
            <w:r>
              <w:rPr>
                <w:rStyle w:val="IndexLink"/>
              </w:rPr>
              <w:t>3.5 Technical Deviations and Architectural Pivots</w:t>
              <w:tab/>
              <w:t>7</w:t>
            </w:r>
          </w:hyperlink>
        </w:p>
        <w:p>
          <w:pPr>
            <w:pStyle w:val="TOC2"/>
            <w:tabs>
              <w:tab w:val="clear" w:pos="9077"/>
              <w:tab w:val="right" w:pos="9359" w:leader="dot"/>
            </w:tabs>
            <w:rPr/>
          </w:pPr>
          <w:hyperlink w:anchor="__RefHeading___Toc7540_1562581415" w:tooltip="3.6 The Role of Supervisory Guidance: Insights from Dr. Charles Muango">
            <w:r>
              <w:rPr>
                <w:rStyle w:val="IndexLink"/>
              </w:rPr>
              <w:t>3.6 The Role of Supervisory Guidance: Insights from Dr. Charles Muango</w:t>
              <w:tab/>
              <w:t>8</w:t>
            </w:r>
          </w:hyperlink>
        </w:p>
        <w:p>
          <w:pPr>
            <w:pStyle w:val="TOC1"/>
            <w:tabs>
              <w:tab w:val="clear" w:pos="9360"/>
              <w:tab w:val="right" w:pos="9359" w:leader="dot"/>
            </w:tabs>
            <w:rPr/>
          </w:pPr>
          <w:hyperlink w:anchor="__RefHeading___Toc7542_1562581415" w:tooltip="CHAPTER 4: IMPLEMENTATION / WORK PERFORMED">
            <w:r>
              <w:rPr>
                <w:rStyle w:val="IndexLink"/>
              </w:rPr>
              <w:t>CHAPTER 4: IMPLEMENTATION / WORK PERFORMED</w:t>
              <w:tab/>
              <w:t>8</w:t>
            </w:r>
          </w:hyperlink>
        </w:p>
        <w:p>
          <w:pPr>
            <w:pStyle w:val="TOC2"/>
            <w:tabs>
              <w:tab w:val="clear" w:pos="9077"/>
              <w:tab w:val="right" w:pos="9359" w:leader="dot"/>
            </w:tabs>
            <w:rPr/>
          </w:pPr>
          <w:hyperlink w:anchor="__RefHeading___Toc7544_1562581415" w:tooltip="4.1 The Decoupled High Availability Architecture">
            <w:r>
              <w:rPr>
                <w:rStyle w:val="IndexLink"/>
              </w:rPr>
              <w:t>4.1 The Decoupled High Availability Architecture</w:t>
              <w:tab/>
              <w:t>8</w:t>
            </w:r>
          </w:hyperlink>
        </w:p>
        <w:p>
          <w:pPr>
            <w:pStyle w:val="TOC2"/>
            <w:tabs>
              <w:tab w:val="clear" w:pos="9077"/>
              <w:tab w:val="right" w:pos="9359" w:leader="dot"/>
            </w:tabs>
            <w:rPr/>
          </w:pPr>
          <w:hyperlink w:anchor="__RefHeading___Toc7546_1562581415" w:tooltip="4.2 Visualizing Stakeholder Interactions: Use Case Diagram">
            <w:r>
              <w:rPr>
                <w:rStyle w:val="IndexLink"/>
              </w:rPr>
              <w:t>4.2 Visualizing Stakeholder Interactions: Use Case Diagram</w:t>
              <w:tab/>
              <w:t>9</w:t>
            </w:r>
          </w:hyperlink>
        </w:p>
        <w:p>
          <w:pPr>
            <w:pStyle w:val="TOC2"/>
            <w:tabs>
              <w:tab w:val="clear" w:pos="9077"/>
              <w:tab w:val="right" w:pos="9359" w:leader="dot"/>
            </w:tabs>
            <w:rPr/>
          </w:pPr>
          <w:hyperlink w:anchor="__RefHeading___Toc7548_1562581415" w:tooltip="4.3 Data Flow and Logical Processing: DFD Level 1">
            <w:r>
              <w:rPr>
                <w:rStyle w:val="IndexLink"/>
              </w:rPr>
              <w:t>4.3 Data Flow and Logical Processing: DFD Level 1</w:t>
              <w:tab/>
              <w:t>9</w:t>
            </w:r>
          </w:hyperlink>
        </w:p>
        <w:p>
          <w:pPr>
            <w:pStyle w:val="TOC2"/>
            <w:tabs>
              <w:tab w:val="clear" w:pos="9077"/>
              <w:tab w:val="right" w:pos="9359" w:leader="dot"/>
            </w:tabs>
            <w:rPr/>
          </w:pPr>
          <w:hyperlink w:anchor="__RefHeading___Toc7550_1562581415" w:tooltip="4.4 The Database Blueprint: Entity Relationship Diagram (ERD)">
            <w:r>
              <w:rPr>
                <w:rStyle w:val="IndexLink"/>
              </w:rPr>
              <w:t>4.4 The Database Blueprint: Entity Relationship Diagram (ERD)</w:t>
              <w:tab/>
              <w:t>10</w:t>
            </w:r>
          </w:hyperlink>
        </w:p>
        <w:p>
          <w:pPr>
            <w:pStyle w:val="TOC2"/>
            <w:tabs>
              <w:tab w:val="clear" w:pos="9077"/>
              <w:tab w:val="right" w:pos="9359" w:leader="dot"/>
            </w:tabs>
            <w:rPr/>
          </w:pPr>
          <w:hyperlink w:anchor="__RefHeading___Toc7552_1562581415" w:tooltip="4.5 Tripartite Design and Responsive User Interfaces">
            <w:r>
              <w:rPr>
                <w:rStyle w:val="IndexLink"/>
              </w:rPr>
              <w:t>4.5 Tripartite Design and Responsive User Interfaces</w:t>
              <w:tab/>
              <w:t>10</w:t>
            </w:r>
          </w:hyperlink>
        </w:p>
        <w:p>
          <w:pPr>
            <w:pStyle w:val="TOC2"/>
            <w:tabs>
              <w:tab w:val="clear" w:pos="9077"/>
              <w:tab w:val="right" w:pos="9359" w:leader="dot"/>
            </w:tabs>
            <w:rPr/>
          </w:pPr>
          <w:hyperlink w:anchor="__RefHeading___Toc7554_1562581415" w:tooltip="4.6 The Time Compressed Simulation Strategy">
            <w:r>
              <w:rPr>
                <w:rStyle w:val="IndexLink"/>
              </w:rPr>
              <w:t>4.6 The Time Compressed Simulation Strategy</w:t>
              <w:tab/>
              <w:t>10</w:t>
            </w:r>
          </w:hyperlink>
        </w:p>
        <w:p>
          <w:pPr>
            <w:pStyle w:val="TOC1"/>
            <w:tabs>
              <w:tab w:val="clear" w:pos="9360"/>
              <w:tab w:val="right" w:pos="9359" w:leader="dot"/>
            </w:tabs>
            <w:rPr/>
          </w:pPr>
          <w:hyperlink w:anchor="__RefHeading___Toc7556_1562581415" w:tooltip="CHAPTER 5: DEVELOPMENT AND EXECUTION">
            <w:r>
              <w:rPr>
                <w:rStyle w:val="IndexLink"/>
              </w:rPr>
              <w:t>CHAPTER 5: DEVELOPMENT AND EXECUTION</w:t>
              <w:tab/>
              <w:t>11</w:t>
            </w:r>
          </w:hyperlink>
        </w:p>
        <w:p>
          <w:pPr>
            <w:pStyle w:val="TOC2"/>
            <w:tabs>
              <w:tab w:val="clear" w:pos="9077"/>
              <w:tab w:val="right" w:pos="9359" w:leader="dot"/>
            </w:tabs>
            <w:rPr/>
          </w:pPr>
          <w:hyperlink w:anchor="__RefHeading___Toc7558_1562581415" w:tooltip="5.1 Technical Environment and Platform Implementation">
            <w:r>
              <w:rPr>
                <w:rStyle w:val="IndexLink"/>
              </w:rPr>
              <w:t>5.1 Technical Environment and Platform Implementation</w:t>
              <w:tab/>
              <w:t>11</w:t>
            </w:r>
          </w:hyperlink>
        </w:p>
        <w:p>
          <w:pPr>
            <w:pStyle w:val="TOC2"/>
            <w:tabs>
              <w:tab w:val="clear" w:pos="9077"/>
              <w:tab w:val="right" w:pos="9359" w:leader="dot"/>
            </w:tabs>
            <w:rPr/>
          </w:pPr>
          <w:hyperlink w:anchor="__RefHeading___Toc7560_1562581415" w:tooltip="5.2 Deep Dive into the AI Matching Engine and the 24 Hour Logic">
            <w:r>
              <w:rPr>
                <w:rStyle w:val="IndexLink"/>
              </w:rPr>
              <w:t>5.2 Deep Dive into the AI Matching Engine and the 24 Hour Logic</w:t>
              <w:tab/>
              <w:t>11</w:t>
            </w:r>
          </w:hyperlink>
        </w:p>
        <w:p>
          <w:pPr>
            <w:pStyle w:val="TOC2"/>
            <w:tabs>
              <w:tab w:val="clear" w:pos="9077"/>
              <w:tab w:val="right" w:pos="9359" w:leader="dot"/>
            </w:tabs>
            <w:rPr/>
          </w:pPr>
          <w:hyperlink w:anchor="__RefHeading___Toc7562_1562581415" w:tooltip="5.3 The Mathematical Logic of the Matching Algorithm">
            <w:r>
              <w:rPr>
                <w:rStyle w:val="IndexLink"/>
              </w:rPr>
              <w:t>5.3 The Mathematical Logic of the Matching Algorithm</w:t>
              <w:tab/>
              <w:t>12</w:t>
            </w:r>
          </w:hyperlink>
        </w:p>
        <w:p>
          <w:pPr>
            <w:pStyle w:val="TOC2"/>
            <w:tabs>
              <w:tab w:val="clear" w:pos="9077"/>
              <w:tab w:val="right" w:pos="9359" w:leader="dot"/>
            </w:tabs>
            <w:rPr/>
          </w:pPr>
          <w:hyperlink w:anchor="__RefHeading___Toc7564_1562581415" w:tooltip="5.4 Document Automation: Cover and Acceptance Letters">
            <w:r>
              <w:rPr>
                <w:rStyle w:val="IndexLink"/>
              </w:rPr>
              <w:t>5.4 Document Automation: Cover and Acceptance Letters</w:t>
              <w:tab/>
              <w:t>12</w:t>
            </w:r>
          </w:hyperlink>
        </w:p>
        <w:p>
          <w:pPr>
            <w:pStyle w:val="TOC2"/>
            <w:tabs>
              <w:tab w:val="clear" w:pos="9077"/>
              <w:tab w:val="right" w:pos="9359" w:leader="dot"/>
            </w:tabs>
            <w:rPr/>
          </w:pPr>
          <w:hyperlink w:anchor="__RefHeading___Toc7566_1562581415" w:tooltip="5.5 Communication Infrastructure and Gmail API via OAuth2">
            <w:r>
              <w:rPr>
                <w:rStyle w:val="IndexLink"/>
              </w:rPr>
              <w:t>5.5 Communication Infrastructure and Gmail API via OAuth2</w:t>
              <w:tab/>
              <w:t>12</w:t>
            </w:r>
          </w:hyperlink>
        </w:p>
        <w:p>
          <w:pPr>
            <w:pStyle w:val="TOC2"/>
            <w:tabs>
              <w:tab w:val="clear" w:pos="9077"/>
              <w:tab w:val="right" w:pos="9359" w:leader="dot"/>
            </w:tabs>
            <w:rPr/>
          </w:pPr>
          <w:hyperlink w:anchor="__RefHeading___Toc7568_1562581415" w:tooltip="5.6 Performance Optimization and Design Refinements">
            <w:r>
              <w:rPr>
                <w:rStyle w:val="IndexLink"/>
              </w:rPr>
              <w:t>5.6 Performance Optimization and Design Refinements</w:t>
              <w:tab/>
              <w:t>13</w:t>
            </w:r>
          </w:hyperlink>
        </w:p>
        <w:p>
          <w:pPr>
            <w:pStyle w:val="TOC1"/>
            <w:tabs>
              <w:tab w:val="clear" w:pos="9360"/>
              <w:tab w:val="right" w:pos="9359" w:leader="dot"/>
            </w:tabs>
            <w:rPr/>
          </w:pPr>
          <w:hyperlink w:anchor="__RefHeading___Toc7570_1562581415" w:tooltip="CHAPTER 6: RESULTS AND DISCUSSION">
            <w:r>
              <w:rPr>
                <w:rStyle w:val="IndexLink"/>
              </w:rPr>
              <w:t>CHAPTER 6: RESULTS AND DISCUSSION</w:t>
              <w:tab/>
              <w:t>13</w:t>
            </w:r>
          </w:hyperlink>
        </w:p>
        <w:p>
          <w:pPr>
            <w:pStyle w:val="TOC2"/>
            <w:tabs>
              <w:tab w:val="clear" w:pos="9077"/>
              <w:tab w:val="right" w:pos="9359" w:leader="dot"/>
            </w:tabs>
            <w:rPr/>
          </w:pPr>
          <w:hyperlink w:anchor="__RefHeading___Toc7572_1562581415" w:tooltip="6.1 The Philosophy of Comprehensive System Validation">
            <w:r>
              <w:rPr>
                <w:rStyle w:val="IndexLink"/>
              </w:rPr>
              <w:t>6.1 The Philosophy of Comprehensive System Validation</w:t>
              <w:tab/>
              <w:t>13</w:t>
            </w:r>
          </w:hyperlink>
        </w:p>
        <w:p>
          <w:pPr>
            <w:pStyle w:val="TOC2"/>
            <w:tabs>
              <w:tab w:val="clear" w:pos="9077"/>
              <w:tab w:val="right" w:pos="9359" w:leader="dot"/>
            </w:tabs>
            <w:rPr/>
          </w:pPr>
          <w:hyperlink w:anchor="__RefHeading___Toc7574_1562581415" w:tooltip="6.2 Multi Layered Testing Methodologies and Execution">
            <w:r>
              <w:rPr>
                <w:rStyle w:val="IndexLink"/>
              </w:rPr>
              <w:t>6.2 Multi Layered Testing Methodologies and Execution</w:t>
              <w:tab/>
              <w:t>13</w:t>
            </w:r>
          </w:hyperlink>
        </w:p>
        <w:p>
          <w:pPr>
            <w:pStyle w:val="TOC2"/>
            <w:tabs>
              <w:tab w:val="clear" w:pos="9077"/>
              <w:tab w:val="right" w:pos="9359" w:leader="dot"/>
            </w:tabs>
            <w:rPr/>
          </w:pPr>
          <w:hyperlink w:anchor="__RefHeading___Toc7576_1562581415" w:tooltip="6.3 Scientific Evaluation of AI Matching and System Performance">
            <w:r>
              <w:rPr>
                <w:rStyle w:val="IndexLink"/>
              </w:rPr>
              <w:t>6.3 Scientific Evaluation of AI Matching and System Performance</w:t>
              <w:tab/>
              <w:t>14</w:t>
            </w:r>
          </w:hyperlink>
        </w:p>
        <w:p>
          <w:pPr>
            <w:pStyle w:val="TOC2"/>
            <w:tabs>
              <w:tab w:val="clear" w:pos="9077"/>
              <w:tab w:val="right" w:pos="9359" w:leader="dot"/>
            </w:tabs>
            <w:rPr/>
          </w:pPr>
          <w:hyperlink w:anchor="__RefHeading___Toc7578_1562581415" w:tooltip="6.4 User Acceptance Testing and Qualitative Results">
            <w:r>
              <w:rPr>
                <w:rStyle w:val="IndexLink"/>
              </w:rPr>
              <w:t>6.4 User Acceptance Testing and Qualitative Results</w:t>
              <w:tab/>
              <w:t>14</w:t>
            </w:r>
          </w:hyperlink>
        </w:p>
        <w:p>
          <w:pPr>
            <w:pStyle w:val="TOC2"/>
            <w:tabs>
              <w:tab w:val="clear" w:pos="9077"/>
              <w:tab w:val="right" w:pos="9359" w:leader="dot"/>
            </w:tabs>
            <w:rPr/>
          </w:pPr>
          <w:hyperlink w:anchor="__RefHeading___Toc7580_1562581415" w:tooltip="6.5 Narrative of Technical Problem Solving: The M Pesa and Storage Hurdles">
            <w:r>
              <w:rPr>
                <w:rStyle w:val="IndexLink"/>
              </w:rPr>
              <w:t>6.5 Narrative of Technical Problem Solving: The M Pesa and Storage Hurdles</w:t>
              <w:tab/>
              <w:t>14</w:t>
            </w:r>
          </w:hyperlink>
        </w:p>
        <w:p>
          <w:pPr>
            <w:pStyle w:val="TOC1"/>
            <w:tabs>
              <w:tab w:val="clear" w:pos="9360"/>
              <w:tab w:val="right" w:pos="9359" w:leader="dot"/>
            </w:tabs>
            <w:rPr/>
          </w:pPr>
          <w:hyperlink w:anchor="__RefHeading___Toc7582_1562581415" w:tooltip="CHAPTER 7: TECHNICAL AND ADMINISTRATIVE PROJECT SUMMARY">
            <w:r>
              <w:rPr>
                <w:rStyle w:val="IndexLink"/>
              </w:rPr>
              <w:t>CHAPTER 7: TECHNICAL AND ADMINISTRATIVE PROJECT SUMMARY</w:t>
              <w:tab/>
              <w:t>15</w:t>
            </w:r>
          </w:hyperlink>
        </w:p>
        <w:p>
          <w:pPr>
            <w:pStyle w:val="TOC2"/>
            <w:tabs>
              <w:tab w:val="clear" w:pos="9077"/>
              <w:tab w:val="right" w:pos="9359" w:leader="dot"/>
            </w:tabs>
            <w:rPr/>
          </w:pPr>
          <w:hyperlink w:anchor="__RefHeading___Toc7584_1562581415" w:tooltip="7.1. Requirement Traceability and Lifecycle Alignment">
            <w:r>
              <w:rPr>
                <w:rStyle w:val="IndexLink"/>
              </w:rPr>
              <w:t>7.1. Requirement Traceability and Lifecycle Alignment</w:t>
              <w:tab/>
              <w:t>15</w:t>
            </w:r>
          </w:hyperlink>
        </w:p>
        <w:p>
          <w:pPr>
            <w:pStyle w:val="TOC2"/>
            <w:tabs>
              <w:tab w:val="clear" w:pos="9077"/>
              <w:tab w:val="right" w:pos="9359" w:leader="dot"/>
            </w:tabs>
            <w:rPr/>
          </w:pPr>
          <w:hyperlink w:anchor="__RefHeading___Toc7586_1562581415" w:tooltip="7.2. Infrastructure and Cloud Deployment Roadmap">
            <w:r>
              <w:rPr>
                <w:rStyle w:val="IndexLink"/>
              </w:rPr>
              <w:t>7.2. Infrastructure and Cloud Deployment Roadmap</w:t>
              <w:tab/>
              <w:t>15</w:t>
            </w:r>
          </w:hyperlink>
        </w:p>
        <w:p>
          <w:pPr>
            <w:pStyle w:val="TOC2"/>
            <w:tabs>
              <w:tab w:val="clear" w:pos="9077"/>
              <w:tab w:val="right" w:pos="9359" w:leader="dot"/>
            </w:tabs>
            <w:rPr/>
          </w:pPr>
          <w:hyperlink w:anchor="__RefHeading___Toc7588_1562581415" w:tooltip="7.3. Security, Permissions, and Access Control">
            <w:r>
              <w:rPr>
                <w:rStyle w:val="IndexLink"/>
              </w:rPr>
              <w:t>7.3. Security, Permissions, and Access Control</w:t>
              <w:tab/>
              <w:t>15</w:t>
            </w:r>
          </w:hyperlink>
        </w:p>
        <w:p>
          <w:pPr>
            <w:pStyle w:val="TOC2"/>
            <w:tabs>
              <w:tab w:val="clear" w:pos="9077"/>
              <w:tab w:val="right" w:pos="9359" w:leader="dot"/>
            </w:tabs>
            <w:rPr/>
          </w:pPr>
          <w:hyperlink w:anchor="__RefHeading___Toc7590_1562581415" w:tooltip="7.4. Testing, Stability, and Simulation Results">
            <w:r>
              <w:rPr>
                <w:rStyle w:val="IndexLink"/>
              </w:rPr>
              <w:t>7.4. Testing, Stability, and Simulation Results</w:t>
              <w:tab/>
              <w:t>15</w:t>
            </w:r>
          </w:hyperlink>
        </w:p>
        <w:p>
          <w:pPr>
            <w:pStyle w:val="TOC2"/>
            <w:tabs>
              <w:tab w:val="clear" w:pos="9077"/>
              <w:tab w:val="right" w:pos="9359" w:leader="dot"/>
            </w:tabs>
            <w:rPr/>
          </w:pPr>
          <w:hyperlink w:anchor="__RefHeading___Toc7592_1562581415" w:tooltip="7.5. Maintenance and Future Technical Roadmap">
            <w:r>
              <w:rPr>
                <w:rStyle w:val="IndexLink"/>
              </w:rPr>
              <w:t>7.5. Maintenance and Future Technical Roadmap</w:t>
              <w:tab/>
              <w:t>16</w:t>
            </w:r>
          </w:hyperlink>
        </w:p>
        <w:p>
          <w:pPr>
            <w:pStyle w:val="TOC1"/>
            <w:tabs>
              <w:tab w:val="clear" w:pos="9360"/>
              <w:tab w:val="right" w:pos="9359" w:leader="dot"/>
            </w:tabs>
            <w:rPr/>
          </w:pPr>
          <w:hyperlink w:anchor="__RefHeading___Toc8031_1562581415" w:tooltip="CHAPTER 8: COMPREHENSIVE TABLES AND MATRICES">
            <w:r>
              <w:rPr>
                <w:rStyle w:val="IndexLink"/>
              </w:rPr>
              <w:t>CHAPTER 8: COMPREHENSIVE TABLES AND MATRICES</w:t>
              <w:tab/>
              <w:t>16</w:t>
            </w:r>
          </w:hyperlink>
        </w:p>
        <w:p>
          <w:pPr>
            <w:pStyle w:val="TOC2"/>
            <w:tabs>
              <w:tab w:val="clear" w:pos="9077"/>
              <w:tab w:val="right" w:pos="9359" w:leader="dot"/>
            </w:tabs>
            <w:rPr/>
          </w:pPr>
          <w:hyperlink w:anchor="__RefHeading___Toc7596_1562581415" w:tooltip="8.1. Project Scope and Completion">
            <w:r>
              <w:rPr>
                <w:rStyle w:val="IndexLink"/>
              </w:rPr>
              <w:t>8.1. Project Scope and Completion</w:t>
              <w:tab/>
              <w:t>16</w:t>
            </w:r>
          </w:hyperlink>
        </w:p>
        <w:p>
          <w:pPr>
            <w:pStyle w:val="TOC2"/>
            <w:tabs>
              <w:tab w:val="clear" w:pos="9077"/>
              <w:tab w:val="right" w:pos="9359" w:leader="dot"/>
            </w:tabs>
            <w:rPr/>
          </w:pPr>
          <w:hyperlink w:anchor="__RefHeading___Toc7598_1562581415" w:tooltip="8.2. System Configuration">
            <w:r>
              <w:rPr>
                <w:rStyle w:val="IndexLink"/>
              </w:rPr>
              <w:t>8.2. System Configuration</w:t>
              <w:tab/>
              <w:t>17</w:t>
            </w:r>
          </w:hyperlink>
        </w:p>
        <w:p>
          <w:pPr>
            <w:pStyle w:val="TOC2"/>
            <w:tabs>
              <w:tab w:val="clear" w:pos="9077"/>
              <w:tab w:val="right" w:pos="9359" w:leader="dot"/>
            </w:tabs>
            <w:rPr/>
          </w:pPr>
          <w:hyperlink w:anchor="__RefHeading___Toc7600_1562581415" w:tooltip="8.3. Database Architecture">
            <w:r>
              <w:rPr>
                <w:rStyle w:val="IndexLink"/>
              </w:rPr>
              <w:t>8.3. Database Architecture</w:t>
              <w:tab/>
              <w:t>17</w:t>
            </w:r>
          </w:hyperlink>
        </w:p>
        <w:p>
          <w:pPr>
            <w:pStyle w:val="TOC2"/>
            <w:tabs>
              <w:tab w:val="clear" w:pos="9077"/>
              <w:tab w:val="right" w:pos="9359" w:leader="dot"/>
            </w:tabs>
            <w:rPr/>
          </w:pPr>
          <w:hyperlink w:anchor="__RefHeading___Toc7602_1562581415" w:tooltip="8.4. Security and Access Control">
            <w:r>
              <w:rPr>
                <w:rStyle w:val="IndexLink"/>
              </w:rPr>
              <w:t>8.4. Security and Access Control</w:t>
              <w:tab/>
              <w:t>19</w:t>
            </w:r>
          </w:hyperlink>
        </w:p>
        <w:p>
          <w:pPr>
            <w:pStyle w:val="TOC2"/>
            <w:tabs>
              <w:tab w:val="clear" w:pos="9077"/>
              <w:tab w:val="right" w:pos="9359" w:leader="dot"/>
            </w:tabs>
            <w:rPr/>
          </w:pPr>
          <w:hyperlink w:anchor="__RefHeading___Toc7604_1562581415" w:tooltip="8.5. Quality Assurance">
            <w:r>
              <w:rPr>
                <w:rStyle w:val="IndexLink"/>
              </w:rPr>
              <w:t>8.5. Quality Assurance</w:t>
              <w:tab/>
              <w:t>19</w:t>
            </w:r>
          </w:hyperlink>
        </w:p>
        <w:p>
          <w:pPr>
            <w:pStyle w:val="TOC2"/>
            <w:tabs>
              <w:tab w:val="clear" w:pos="9077"/>
              <w:tab w:val="right" w:pos="9359" w:leader="dot"/>
            </w:tabs>
            <w:rPr/>
          </w:pPr>
          <w:hyperlink w:anchor="__RefHeading___Toc7606_1562581415" w:tooltip="8.6. Defect Management">
            <w:r>
              <w:rPr>
                <w:rStyle w:val="IndexLink"/>
              </w:rPr>
              <w:t>8.6. Defect Management</w:t>
              <w:tab/>
              <w:t>20</w:t>
            </w:r>
          </w:hyperlink>
        </w:p>
        <w:p>
          <w:pPr>
            <w:pStyle w:val="TOC2"/>
            <w:tabs>
              <w:tab w:val="clear" w:pos="9077"/>
              <w:tab w:val="right" w:pos="9359" w:leader="dot"/>
            </w:tabs>
            <w:rPr/>
          </w:pPr>
          <w:hyperlink w:anchor="__RefHeading___Toc7608_1562581415" w:tooltip="8.7. API and Integrations">
            <w:r>
              <w:rPr>
                <w:rStyle w:val="IndexLink"/>
              </w:rPr>
              <w:t>8.7. API and Integrations</w:t>
              <w:tab/>
              <w:t>20</w:t>
            </w:r>
          </w:hyperlink>
        </w:p>
        <w:p>
          <w:pPr>
            <w:pStyle w:val="TOC2"/>
            <w:tabs>
              <w:tab w:val="clear" w:pos="9077"/>
              <w:tab w:val="right" w:pos="9359" w:leader="dot"/>
            </w:tabs>
            <w:rPr/>
          </w:pPr>
          <w:hyperlink w:anchor="__RefHeading___Toc7610_1562581415" w:tooltip="8.8. Project Timeline and Handoff">
            <w:r>
              <w:rPr>
                <w:rStyle w:val="IndexLink"/>
              </w:rPr>
              <w:t>8.8. Project Timeline and Handoff</w:t>
              <w:tab/>
              <w:t>20</w:t>
            </w:r>
          </w:hyperlink>
        </w:p>
        <w:p>
          <w:pPr>
            <w:pStyle w:val="TOC1"/>
            <w:tabs>
              <w:tab w:val="clear" w:pos="9360"/>
              <w:tab w:val="right" w:pos="9359" w:leader="dot"/>
            </w:tabs>
            <w:rPr/>
          </w:pPr>
          <w:hyperlink w:anchor="__RefHeading___Toc7612_1562581415" w:tooltip="CHAPTER 9: VISUAL VERIFICATION AND EMPIRICAL EVIDENCE">
            <w:r>
              <w:rPr>
                <w:rStyle w:val="IndexLink"/>
              </w:rPr>
              <w:t>CHAPTER 9: VISUAL VERIFICATION AND EMPIRICAL EVIDENCE</w:t>
              <w:tab/>
              <w:t>21</w:t>
            </w:r>
          </w:hyperlink>
        </w:p>
        <w:p>
          <w:pPr>
            <w:pStyle w:val="TOC2"/>
            <w:tabs>
              <w:tab w:val="clear" w:pos="9077"/>
              <w:tab w:val="right" w:pos="9359" w:leader="dot"/>
            </w:tabs>
            <w:rPr/>
          </w:pPr>
          <w:hyperlink w:anchor="__RefHeading___Toc7614_1562581415" w:tooltip="9.1 Introduction to Visual System Validation">
            <w:r>
              <w:rPr>
                <w:rStyle w:val="IndexLink"/>
              </w:rPr>
              <w:t>9.1 Introduction to Visual System Validation</w:t>
              <w:tab/>
              <w:t>21</w:t>
            </w:r>
          </w:hyperlink>
        </w:p>
        <w:p>
          <w:pPr>
            <w:pStyle w:val="TOC2"/>
            <w:tabs>
              <w:tab w:val="clear" w:pos="9077"/>
              <w:tab w:val="right" w:pos="9359" w:leader="dot"/>
            </w:tabs>
            <w:rPr/>
          </w:pPr>
          <w:hyperlink w:anchor="__RefHeading___Toc7616_1562581415" w:tooltip="9.2 Authentication and Security Implementation">
            <w:r>
              <w:rPr>
                <w:rStyle w:val="IndexLink"/>
              </w:rPr>
              <w:t>9.2 Authentication and Security Implementation</w:t>
              <w:tab/>
              <w:t>21</w:t>
            </w:r>
          </w:hyperlink>
        </w:p>
        <w:p>
          <w:pPr>
            <w:pStyle w:val="TOC2"/>
            <w:tabs>
              <w:tab w:val="clear" w:pos="9077"/>
              <w:tab w:val="right" w:pos="9359" w:leader="dot"/>
            </w:tabs>
            <w:rPr/>
          </w:pPr>
          <w:hyperlink w:anchor="__RefHeading___Toc7618_1562581415" w:tooltip="9.3 The Tripartite User Dashboard">
            <w:r>
              <w:rPr>
                <w:rStyle w:val="IndexLink"/>
              </w:rPr>
              <w:t>9.3 The Tripartite User Dashboard</w:t>
              <w:tab/>
              <w:t>22</w:t>
            </w:r>
          </w:hyperlink>
        </w:p>
        <w:p>
          <w:pPr>
            <w:pStyle w:val="TOC2"/>
            <w:tabs>
              <w:tab w:val="clear" w:pos="9077"/>
              <w:tab w:val="right" w:pos="9359" w:leader="dot"/>
            </w:tabs>
            <w:rPr/>
          </w:pPr>
          <w:hyperlink w:anchor="__RefHeading___Toc9060_1562581415" w:tooltip="9.4 Verification of Key Functional Workflows">
            <w:r>
              <w:rPr>
                <w:rStyle w:val="IndexLink"/>
              </w:rPr>
              <w:t>9.4 Verification of Key Functional Workflows</w:t>
              <w:tab/>
              <w:t>23</w:t>
            </w:r>
          </w:hyperlink>
        </w:p>
        <w:p>
          <w:pPr>
            <w:pStyle w:val="TOC2"/>
            <w:tabs>
              <w:tab w:val="clear" w:pos="9077"/>
              <w:tab w:val="right" w:pos="9359" w:leader="dot"/>
            </w:tabs>
            <w:rPr/>
          </w:pPr>
          <w:hyperlink w:anchor="__RefHeading___Toc7622_1562581415" w:tooltip="9.5 Database and Infrastructure Operational Status">
            <w:r>
              <w:rPr>
                <w:rStyle w:val="IndexLink"/>
              </w:rPr>
              <w:t>9.5 Database and Infrastructure Operational Status</w:t>
              <w:tab/>
              <w:t>23</w:t>
            </w:r>
          </w:hyperlink>
        </w:p>
        <w:p>
          <w:pPr>
            <w:pStyle w:val="TOC2"/>
            <w:tabs>
              <w:tab w:val="clear" w:pos="9077"/>
              <w:tab w:val="right" w:pos="9359" w:leader="dot"/>
            </w:tabs>
            <w:rPr/>
          </w:pPr>
          <w:hyperlink w:anchor="__RefHeading___Toc7624_1562581415" w:tooltip="9.6 Conclusion of Visual Evidence">
            <w:r>
              <w:rPr>
                <w:rStyle w:val="IndexLink"/>
              </w:rPr>
              <w:t>9.6 Conclusion of Visual Evidence</w:t>
              <w:tab/>
              <w:t>24</w:t>
            </w:r>
          </w:hyperlink>
        </w:p>
        <w:p>
          <w:pPr>
            <w:pStyle w:val="TOC1"/>
            <w:tabs>
              <w:tab w:val="clear" w:pos="9360"/>
              <w:tab w:val="right" w:pos="9359" w:leader="dot"/>
            </w:tabs>
            <w:rPr/>
          </w:pPr>
          <w:hyperlink w:anchor="__RefHeading___Toc7626_1562581415" w:tooltip="CHAPTER 10: CONCLUSION AND FUTURE WORK">
            <w:r>
              <w:rPr>
                <w:rStyle w:val="IndexLink"/>
              </w:rPr>
              <w:t>CHAPTER 10: CONCLUSION AND FUTURE WORK</w:t>
              <w:tab/>
              <w:t>24</w:t>
            </w:r>
          </w:hyperlink>
        </w:p>
        <w:p>
          <w:pPr>
            <w:pStyle w:val="TOC2"/>
            <w:tabs>
              <w:tab w:val="clear" w:pos="9077"/>
              <w:tab w:val="right" w:pos="9359" w:leader="dot"/>
            </w:tabs>
            <w:rPr/>
          </w:pPr>
          <w:hyperlink w:anchor="__RefHeading___Toc7628_1562581415" w:tooltip="10.1 Comprehensive Summary of Project Achievements">
            <w:r>
              <w:rPr>
                <w:rStyle w:val="IndexLink"/>
              </w:rPr>
              <w:t>10.1 Comprehensive Summary of Project Achievements</w:t>
              <w:tab/>
              <w:t>24</w:t>
            </w:r>
          </w:hyperlink>
        </w:p>
        <w:p>
          <w:pPr>
            <w:pStyle w:val="TOC2"/>
            <w:tabs>
              <w:tab w:val="clear" w:pos="9077"/>
              <w:tab w:val="right" w:pos="9359" w:leader="dot"/>
            </w:tabs>
            <w:rPr/>
          </w:pPr>
          <w:hyperlink w:anchor="__RefHeading___Toc7630_1562581415" w:tooltip="10.2 Lessons Learned and Technical Limitations">
            <w:r>
              <w:rPr>
                <w:rStyle w:val="IndexLink"/>
              </w:rPr>
              <w:t>10.2 Lessons Learned and Technical Limitations</w:t>
              <w:tab/>
              <w:t>24</w:t>
            </w:r>
          </w:hyperlink>
        </w:p>
        <w:p>
          <w:pPr>
            <w:pStyle w:val="TOC2"/>
            <w:tabs>
              <w:tab w:val="clear" w:pos="9077"/>
              <w:tab w:val="right" w:pos="9359" w:leader="dot"/>
            </w:tabs>
            <w:rPr/>
          </w:pPr>
          <w:hyperlink w:anchor="__RefHeading___Toc7632_1562581415" w:tooltip="10.3 Ambitious Roadmap for Future Development and Expansion">
            <w:r>
              <w:rPr>
                <w:rStyle w:val="IndexLink"/>
              </w:rPr>
              <w:t>10.3 Ambitious Roadmap for Future Development and Expansion</w:t>
              <w:tab/>
              <w:t>25</w:t>
            </w:r>
          </w:hyperlink>
        </w:p>
        <w:p>
          <w:pPr>
            <w:pStyle w:val="TOC2"/>
            <w:tabs>
              <w:tab w:val="clear" w:pos="9077"/>
              <w:tab w:val="right" w:pos="9359" w:leader="dot"/>
            </w:tabs>
            <w:rPr/>
          </w:pPr>
          <w:hyperlink w:anchor="__RefHeading___Toc7634_1562581415" w:tooltip="10.4 Final Concluding Thoughts">
            <w:r>
              <w:rPr>
                <w:rStyle w:val="IndexLink"/>
              </w:rPr>
              <w:t>10.4 Final Concluding Thoughts</w:t>
              <w:tab/>
              <w:t>25</w:t>
            </w:r>
          </w:hyperlink>
        </w:p>
        <w:p>
          <w:pPr>
            <w:pStyle w:val="TOC1"/>
            <w:tabs>
              <w:tab w:val="clear" w:pos="9360"/>
              <w:tab w:val="right" w:pos="9359" w:leader="dot"/>
            </w:tabs>
            <w:rPr/>
          </w:pPr>
          <w:hyperlink w:anchor="__RefHeading___Toc7636_1562581415" w:tooltip="REFERENCES (APA 7th Edition)">
            <w:r>
              <w:rPr>
                <w:rStyle w:val="IndexLink"/>
              </w:rPr>
              <w:t>REFERENCES (APA 7th Edition)</w:t>
              <w:tab/>
              <w:t>25</w:t>
            </w:r>
          </w:hyperlink>
        </w:p>
        <w:p>
          <w:pPr>
            <w:pStyle w:val="TOC1"/>
            <w:tabs>
              <w:tab w:val="clear" w:pos="9360"/>
              <w:tab w:val="right" w:pos="9359" w:leader="dot"/>
            </w:tabs>
            <w:rPr/>
          </w:pPr>
          <w:hyperlink w:anchor="__RefHeading___Toc7638_1562581415" w:tooltip="APPENDICES">
            <w:r>
              <w:rPr>
                <w:rStyle w:val="IndexLink"/>
              </w:rPr>
              <w:t>APPENDICES</w:t>
              <w:tab/>
              <w:t>26</w:t>
            </w:r>
          </w:hyperlink>
        </w:p>
        <w:p>
          <w:pPr>
            <w:pStyle w:val="TOC2"/>
            <w:tabs>
              <w:tab w:val="clear" w:pos="9077"/>
              <w:tab w:val="right" w:pos="9359" w:leader="dot"/>
            </w:tabs>
            <w:rPr/>
          </w:pPr>
          <w:hyperlink w:anchor="__RefHeading___Toc7640_1562581415" w:tooltip="Appendix A: Detailed Narrative of the Data Architecture">
            <w:r>
              <w:rPr>
                <w:rStyle w:val="IndexLink"/>
              </w:rPr>
              <w:t>Appendix A: Detailed Narrative of the Data Architecture</w:t>
              <w:tab/>
              <w:t>26</w:t>
            </w:r>
          </w:hyperlink>
        </w:p>
        <w:p>
          <w:pPr>
            <w:pStyle w:val="TOC2"/>
            <w:tabs>
              <w:tab w:val="clear" w:pos="9077"/>
              <w:tab w:val="right" w:pos="9359" w:leader="dot"/>
            </w:tabs>
            <w:rPr/>
          </w:pPr>
          <w:hyperlink w:anchor="__RefHeading___Toc7642_1562581415" w:tooltip="Appendix B: Comprehensive API Specification Narrative">
            <w:r>
              <w:rPr>
                <w:rStyle w:val="IndexLink"/>
              </w:rPr>
              <w:t>Appendix B: Comprehensive API Specification Narrative</w:t>
              <w:tab/>
              <w:t>26</w:t>
            </w:r>
          </w:hyperlink>
          <w:r>
            <w:rPr>
              <w:rStyle w:val="IndexLink"/>
            </w:rPr>
            <w:fldChar w:fldCharType="end"/>
          </w:r>
        </w:p>
      </w:sdtContent>
    </w:sdt>
    <w:p>
      <w:pPr>
        <w:pStyle w:val="Heading1"/>
        <w:spacing w:lineRule="auto" w:line="276" w:before="0" w:after="200"/>
        <w:rPr>
          <w:rFonts w:ascii="Times New Roman" w:hAnsi="Times New Roman"/>
          <w:color w:val="000000"/>
          <w:sz w:val="24"/>
          <w:szCs w:val="24"/>
        </w:rPr>
        <w:sectPr>
          <w:type w:val="nextPage"/>
          <w:pgSz w:w="12240" w:h="15840"/>
          <w:pgMar w:left="1440" w:right="1440" w:gutter="0" w:header="0" w:top="1440" w:footer="0" w:bottom="1440"/>
          <w:pgNumType w:fmt="decimal"/>
          <w:formProt w:val="false"/>
          <w:textDirection w:val="lrTb"/>
          <w:docGrid w:type="default" w:linePitch="100" w:charSpace="0"/>
        </w:sectPr>
      </w:pPr>
      <w:r>
        <w:rPr>
          <w:rFonts w:ascii="Times New Roman" w:hAnsi="Times New Roman"/>
          <w:color w:val="000000"/>
          <w:sz w:val="24"/>
          <w:szCs w:val="24"/>
        </w:rPr>
      </w:r>
    </w:p>
    <w:p>
      <w:pPr>
        <w:pStyle w:val="Heading1"/>
        <w:spacing w:lineRule="auto" w:line="276" w:before="0" w:after="200"/>
        <w:rPr>
          <w:rFonts w:ascii="Times New Roman" w:hAnsi="Times New Roman"/>
          <w:color w:val="000000"/>
          <w:sz w:val="24"/>
          <w:szCs w:val="24"/>
        </w:rPr>
      </w:pPr>
      <w:bookmarkStart w:id="6" w:name="__RefHeading___Toc7492_1562581415"/>
      <w:bookmarkEnd w:id="6"/>
      <w:r>
        <w:rPr>
          <w:rFonts w:ascii="Times New Roman" w:hAnsi="Times New Roman"/>
          <w:color w:val="000000"/>
          <w:sz w:val="24"/>
          <w:szCs w:val="24"/>
        </w:rPr>
        <w:t>ABSTRACT / EXECUTIVE SUMMARY</w:t>
      </w:r>
    </w:p>
    <w:p>
      <w:pPr>
        <w:pStyle w:val="Normal"/>
        <w:spacing w:lineRule="auto" w:line="276"/>
        <w:rPr>
          <w:color w:val="000000"/>
        </w:rPr>
      </w:pPr>
      <w:r>
        <w:rPr>
          <w:rFonts w:ascii="Times New Roman" w:hAnsi="Times New Roman"/>
          <w:color w:val="000000"/>
          <w:sz w:val="24"/>
          <w:szCs w:val="24"/>
        </w:rPr>
        <w:t>The AISHA (AI-Powered Industrial Attachment Matching Platform) project addresses the systemic challenges in the Kenyan industrial attachment placement process. By leveraging AI/ML technologies, automation, and a student-centric design, the platform eliminates manual inefficiencies and bias. Key features include a 'Single Best Fit' matching engine, a 24-hour preference window, and automated document generation for cover and acceptance letters. The system was developed using an Agile methodology and a robust tech stack (React, Node.js, Python), achieving an 85% match relevance accuracy and significantly reducing administrative overhead for students, companies, and institutions.</w:t>
      </w:r>
    </w:p>
    <w:p>
      <w:pPr>
        <w:pStyle w:val="Heading1"/>
        <w:spacing w:lineRule="auto" w:line="276"/>
        <w:rPr>
          <w:color w:val="000000"/>
        </w:rPr>
      </w:pPr>
      <w:bookmarkStart w:id="7" w:name="__RefHeading___Toc7494_1562581415"/>
      <w:bookmarkEnd w:id="7"/>
      <w:r>
        <w:rPr>
          <w:rFonts w:ascii="Times New Roman" w:hAnsi="Times New Roman"/>
          <w:color w:val="000000"/>
          <w:sz w:val="24"/>
          <w:szCs w:val="24"/>
        </w:rPr>
        <w:t>ACKNOWLEDGEMENTS</w:t>
      </w:r>
    </w:p>
    <w:p>
      <w:pPr>
        <w:pStyle w:val="Normal"/>
        <w:spacing w:lineRule="auto" w:line="276"/>
        <w:rPr>
          <w:color w:val="000000"/>
        </w:rPr>
      </w:pPr>
      <w:r>
        <w:rPr>
          <w:rFonts w:ascii="Times New Roman" w:hAnsi="Times New Roman"/>
          <w:color w:val="000000"/>
          <w:sz w:val="24"/>
          <w:szCs w:val="24"/>
        </w:rPr>
        <w:t>We would like to express our deepest gratitude to our supervisor, Dr. Charles Muango, tother with Mr Gitonga for his invaluable guidance and technical direction throughout this project. Special thanks to the Department of Information Technology at Masinde Muliro University of Science and Technology for providing the knowledge and computer laboraory environment necessary for our research. Finally, we thank our families and peers for their unwavering support during the development of AISHA.</w:t>
      </w:r>
    </w:p>
    <w:p>
      <w:pPr>
        <w:pStyle w:val="Heading1"/>
        <w:spacing w:lineRule="auto" w:line="276"/>
        <w:rPr>
          <w:color w:val="000000"/>
        </w:rPr>
      </w:pPr>
      <w:bookmarkStart w:id="8" w:name="__RefHeading___Toc7496_1562581415"/>
      <w:bookmarkEnd w:id="8"/>
      <w:r>
        <w:rPr>
          <w:rFonts w:ascii="Times New Roman" w:hAnsi="Times New Roman"/>
          <w:color w:val="000000"/>
          <w:sz w:val="24"/>
          <w:szCs w:val="24"/>
        </w:rPr>
        <w:t>LIST OF TABLES</w:t>
      </w:r>
    </w:p>
    <w:p>
      <w:pPr>
        <w:pStyle w:val="Normal"/>
        <w:spacing w:lineRule="auto" w:line="276"/>
        <w:rPr>
          <w:color w:val="000000"/>
        </w:rPr>
      </w:pPr>
      <w:r>
        <w:rPr>
          <w:rFonts w:ascii="Times New Roman" w:hAnsi="Times New Roman"/>
          <w:b w:val="false"/>
          <w:color w:val="000000"/>
          <w:sz w:val="24"/>
          <w:szCs w:val="24"/>
        </w:rPr>
        <w:t>Table 1: Feature Traceability Matrix</w:t>
        <w:br/>
        <w:t>Table 2: Environment &amp; Tech Stack Directory</w:t>
        <w:br/>
        <w:t>Table 3: Data Dictionary (Core Tables)</w:t>
        <w:br/>
        <w:t>Table 4: User Role &amp; Permissions Matrix</w:t>
        <w:br/>
        <w:t>Table 5: Test Execution Log</w:t>
        <w:br/>
        <w:t>Table 6: Bug Tracking Registry</w:t>
        <w:br/>
        <w:t>Table 7: Endpoint Specification Table</w:t>
        <w:br/>
        <w:t>Table 8: Milestone &amp; Delivery Schedule</w:t>
      </w:r>
    </w:p>
    <w:p>
      <w:pPr>
        <w:pStyle w:val="Heading1"/>
        <w:spacing w:lineRule="auto" w:line="276"/>
        <w:rPr>
          <w:color w:val="000000"/>
        </w:rPr>
      </w:pPr>
      <w:bookmarkStart w:id="9" w:name="__RefHeading___Toc7498_1562581415"/>
      <w:bookmarkEnd w:id="9"/>
      <w:r>
        <w:rPr>
          <w:rFonts w:ascii="Times New Roman" w:hAnsi="Times New Roman"/>
          <w:color w:val="000000"/>
          <w:sz w:val="24"/>
          <w:szCs w:val="24"/>
        </w:rPr>
        <w:t>LIST OF FIGURES</w:t>
      </w:r>
    </w:p>
    <w:p>
      <w:pPr>
        <w:pStyle w:val="BodyText"/>
        <w:rPr/>
      </w:pPr>
      <w:r>
        <w:rPr>
          <w:rStyle w:val="Strong"/>
          <w:rFonts w:ascii="Times New Roman" w:hAnsi="Times New Roman"/>
          <w:b w:val="false"/>
          <w:bCs w:val="false"/>
          <w:strike w:val="false"/>
          <w:dstrike w:val="false"/>
          <w:color w:val="000000"/>
          <w:sz w:val="24"/>
          <w:szCs w:val="24"/>
          <w:u w:val="none"/>
          <w:effect w:val="none"/>
        </w:rPr>
        <w:t>Figure 1:</w:t>
      </w:r>
      <w:r>
        <w:rPr>
          <w:rFonts w:ascii="Times New Roman" w:hAnsi="Times New Roman"/>
          <w:b w:val="false"/>
          <w:bCs w:val="false"/>
          <w:strike w:val="false"/>
          <w:dstrike w:val="false"/>
          <w:color w:val="000000"/>
          <w:sz w:val="24"/>
          <w:szCs w:val="24"/>
          <w:u w:val="none"/>
          <w:effect w:val="none"/>
        </w:rPr>
        <w:t xml:space="preserve"> Methodology overview</w:t>
      </w:r>
    </w:p>
    <w:p>
      <w:pPr>
        <w:pStyle w:val="BodyText"/>
        <w:numPr>
          <w:ilvl w:val="0"/>
          <w:numId w:val="0"/>
        </w:numPr>
        <w:ind w:hanging="0" w:left="0"/>
        <w:rPr/>
      </w:pPr>
      <w:r>
        <w:rPr>
          <w:rStyle w:val="Strong"/>
          <w:rFonts w:ascii="Times New Roman" w:hAnsi="Times New Roman"/>
          <w:b w:val="false"/>
          <w:bCs w:val="false"/>
          <w:strike w:val="false"/>
          <w:dstrike w:val="false"/>
          <w:color w:val="000000"/>
          <w:sz w:val="24"/>
          <w:szCs w:val="24"/>
          <w:u w:val="none"/>
          <w:effect w:val="none"/>
        </w:rPr>
        <w:t>Figure 2:</w:t>
      </w:r>
      <w:r>
        <w:rPr>
          <w:rFonts w:ascii="Times New Roman" w:hAnsi="Times New Roman"/>
          <w:b w:val="false"/>
          <w:bCs w:val="false"/>
          <w:strike w:val="false"/>
          <w:dstrike w:val="false"/>
          <w:color w:val="000000"/>
          <w:sz w:val="24"/>
          <w:szCs w:val="24"/>
          <w:u w:val="none"/>
          <w:effect w:val="none"/>
        </w:rPr>
        <w:t xml:space="preserve"> Use Case Diagram - Stakeholder Interactions</w:t>
      </w:r>
    </w:p>
    <w:p>
      <w:pPr>
        <w:pStyle w:val="BodyText"/>
        <w:numPr>
          <w:ilvl w:val="0"/>
          <w:numId w:val="0"/>
        </w:numPr>
        <w:ind w:hanging="0" w:left="0"/>
        <w:rPr/>
      </w:pPr>
      <w:r>
        <w:rPr>
          <w:rStyle w:val="Strong"/>
          <w:rFonts w:ascii="Times New Roman" w:hAnsi="Times New Roman"/>
          <w:b w:val="false"/>
          <w:bCs w:val="false"/>
          <w:strike w:val="false"/>
          <w:dstrike w:val="false"/>
          <w:color w:val="000000"/>
          <w:sz w:val="24"/>
          <w:szCs w:val="24"/>
          <w:u w:val="none"/>
          <w:effect w:val="none"/>
        </w:rPr>
        <w:t>Figure 3:</w:t>
      </w:r>
      <w:r>
        <w:rPr>
          <w:rFonts w:ascii="Times New Roman" w:hAnsi="Times New Roman"/>
          <w:b w:val="false"/>
          <w:bCs w:val="false"/>
          <w:strike w:val="false"/>
          <w:dstrike w:val="false"/>
          <w:color w:val="000000"/>
          <w:sz w:val="24"/>
          <w:szCs w:val="24"/>
          <w:u w:val="none"/>
          <w:effect w:val="none"/>
        </w:rPr>
        <w:t xml:space="preserve"> Data Flow Diagram (DFD) Level 1</w:t>
      </w:r>
    </w:p>
    <w:p>
      <w:pPr>
        <w:pStyle w:val="BodyText"/>
        <w:numPr>
          <w:ilvl w:val="0"/>
          <w:numId w:val="0"/>
        </w:numPr>
        <w:ind w:hanging="0" w:left="0"/>
        <w:rPr/>
      </w:pPr>
      <w:r>
        <w:rPr>
          <w:rStyle w:val="Strong"/>
          <w:rFonts w:ascii="Times New Roman" w:hAnsi="Times New Roman"/>
          <w:b w:val="false"/>
          <w:bCs w:val="false"/>
          <w:strike w:val="false"/>
          <w:dstrike w:val="false"/>
          <w:color w:val="000000"/>
          <w:sz w:val="24"/>
          <w:szCs w:val="24"/>
          <w:u w:val="none"/>
          <w:effect w:val="none"/>
        </w:rPr>
        <w:t>Figure 4:</w:t>
      </w:r>
      <w:r>
        <w:rPr>
          <w:rFonts w:ascii="Times New Roman" w:hAnsi="Times New Roman"/>
          <w:b w:val="false"/>
          <w:bCs w:val="false"/>
          <w:strike w:val="false"/>
          <w:dstrike w:val="false"/>
          <w:color w:val="000000"/>
          <w:sz w:val="24"/>
          <w:szCs w:val="24"/>
          <w:u w:val="none"/>
          <w:effect w:val="none"/>
        </w:rPr>
        <w:t xml:space="preserve"> Entity Relationship Diagram (ERD)</w:t>
      </w:r>
    </w:p>
    <w:p>
      <w:pPr>
        <w:pStyle w:val="Heading1"/>
        <w:spacing w:lineRule="auto" w:line="276"/>
        <w:rPr>
          <w:color w:val="000000"/>
        </w:rPr>
      </w:pPr>
      <w:bookmarkStart w:id="10" w:name="__RefHeading___Toc7500_1562581415"/>
      <w:bookmarkEnd w:id="10"/>
      <w:r>
        <w:rPr>
          <w:rFonts w:ascii="Times New Roman" w:hAnsi="Times New Roman"/>
          <w:color w:val="000000"/>
          <w:sz w:val="24"/>
          <w:szCs w:val="24"/>
        </w:rPr>
        <w:t>LIST OF ABBREVIATIONS</w:t>
      </w:r>
    </w:p>
    <w:p>
      <w:pPr>
        <w:pStyle w:val="Normal"/>
        <w:spacing w:lineRule="auto" w:line="276"/>
        <w:rPr>
          <w:color w:val="000000"/>
        </w:rPr>
      </w:pPr>
      <w:r>
        <w:rPr>
          <w:rFonts w:ascii="Times New Roman" w:hAnsi="Times New Roman"/>
          <w:color w:val="000000"/>
          <w:sz w:val="24"/>
          <w:szCs w:val="24"/>
        </w:rPr>
        <w:t>AI</w:t>
        <w:tab/>
        <w:t>Artificial Intelligence</w:t>
        <w:br/>
        <w:t>ML</w:t>
        <w:tab/>
        <w:t>Machine Learning</w:t>
        <w:br/>
        <w:t>NITA</w:t>
        <w:tab/>
        <w:t>National Industrial Training Authority</w:t>
        <w:br/>
        <w:t>MMUST</w:t>
        <w:tab/>
        <w:t>Masinde Muliro University of Science and Technology</w:t>
        <w:br/>
        <w:t>PWA</w:t>
        <w:tab/>
        <w:t>Progressive Web App</w:t>
        <w:br/>
        <w:t>JWT</w:t>
        <w:tab/>
        <w:t>JSON Web Token</w:t>
        <w:br/>
        <w:t>API</w:t>
        <w:tab/>
        <w:t>Application Programming Interface</w:t>
        <w:br/>
        <w:t>UI/UX</w:t>
        <w:tab/>
        <w:t>User Interface / User Experience</w:t>
      </w:r>
    </w:p>
    <w:p>
      <w:pPr>
        <w:pStyle w:val="Heading1"/>
        <w:spacing w:lineRule="auto" w:line="276"/>
        <w:rPr>
          <w:color w:val="000000"/>
        </w:rPr>
      </w:pPr>
      <w:bookmarkStart w:id="11" w:name="__RefHeading___Toc7502_1562581415"/>
      <w:bookmarkEnd w:id="11"/>
      <w:r>
        <w:rPr>
          <w:rFonts w:ascii="Times New Roman" w:hAnsi="Times New Roman"/>
          <w:color w:val="000000"/>
          <w:sz w:val="24"/>
          <w:szCs w:val="24"/>
        </w:rPr>
        <w:t>CHAPTER 1: INTRODUCTION</w:t>
      </w:r>
    </w:p>
    <w:p>
      <w:pPr>
        <w:pStyle w:val="Heading2"/>
        <w:spacing w:lineRule="auto" w:line="276"/>
        <w:rPr>
          <w:color w:val="000000"/>
        </w:rPr>
      </w:pPr>
      <w:bookmarkStart w:id="12" w:name="__RefHeading___Toc7504_1562581415"/>
      <w:bookmarkStart w:id="13" w:name="detailed-background-of-the-study"/>
      <w:bookmarkEnd w:id="12"/>
      <w:r>
        <w:rPr>
          <w:rFonts w:ascii="Times New Roman" w:hAnsi="Times New Roman"/>
          <w:color w:val="000000"/>
          <w:sz w:val="24"/>
          <w:szCs w:val="24"/>
        </w:rPr>
        <w:t>1.1 Detailed Background of the Study</w:t>
      </w:r>
    </w:p>
    <w:p>
      <w:pPr>
        <w:pStyle w:val="FirstParagraph"/>
        <w:spacing w:lineRule="auto" w:line="276"/>
        <w:rPr>
          <w:color w:val="000000"/>
        </w:rPr>
      </w:pPr>
      <w:r>
        <w:rPr>
          <w:rFonts w:ascii="Times New Roman" w:hAnsi="Times New Roman"/>
          <w:color w:val="000000"/>
          <w:sz w:val="24"/>
          <w:szCs w:val="24"/>
        </w:rPr>
        <w:t>The transition from academic theory to industrial practice is a defining moment in any student’s journey. In the Kenyan educational landscape, particularly within technical and vocational training, the industrial attachment often referred to as a practicum is far more than a mere administrative requirement for graduation. It serves as a fundamental pedagogical bridge that allows students to step out of the isolated environment of the classroom and into the multifaceted, high pressure professional world. The primary goal of this three month phase is to expose students to real world work environments, where they are finally given the opportunity to apply the complex classroom knowledge they have spent years accumulating. This period is also essential for developing professional ethics, building workplace confidence, and gaining hands on experience with technologies and industrial processes that are often too expensive or logistically complex for a standard university laboratory to house.</w:t>
      </w:r>
    </w:p>
    <w:p>
      <w:pPr>
        <w:pStyle w:val="BodyText"/>
        <w:spacing w:lineRule="auto" w:line="276"/>
        <w:rPr>
          <w:color w:val="000000"/>
        </w:rPr>
      </w:pPr>
      <w:r>
        <w:rPr>
          <w:rFonts w:ascii="Times New Roman" w:hAnsi="Times New Roman"/>
          <w:color w:val="000000"/>
          <w:sz w:val="24"/>
          <w:szCs w:val="24"/>
        </w:rPr>
        <w:t>However, in recent years, the reality of securing these vital attachments has become increasingly disconnected from the academic ideal. As the number of students enrolling in higher education institutions has skyrocketed across the country, the capacity of industrial partners to absorb, mentor, and supervise these students has remained relatively static or has grown at a significantly slower pace. This imbalance has created what many educators now refer to as a “Placement Crisis.” Historically, the process of finding an attachment has been a manual, fragmented, and exhausting endeavor. A student is typically left to their own devices, forced to engage in a “door to door” strategy where they physically travel to various industrial zones, armed with dozens of printed application letters, academic transcripts, and official introduction letters from their university liaison office. This process is not only financially draining requiring significant personal expenditure on transport, printing, and meals but it is also profoundly demoralizing. In many tragic cases, these physical applications are lost in the vast “in trays” of overworked HR managers, or students are placed in departments through personal connections where their specific area of study is entirely irrelevant to the work being performed.</w:t>
      </w:r>
    </w:p>
    <w:p>
      <w:pPr>
        <w:pStyle w:val="BodyText"/>
        <w:spacing w:lineRule="auto" w:line="276"/>
        <w:rPr>
          <w:color w:val="000000"/>
        </w:rPr>
      </w:pPr>
      <w:r>
        <w:rPr>
          <w:rFonts w:ascii="Times New Roman" w:hAnsi="Times New Roman"/>
          <w:color w:val="000000"/>
          <w:sz w:val="24"/>
          <w:szCs w:val="24"/>
        </w:rPr>
        <w:t>Furthermore, educational institutions like Masinde Muliro University of Science and Technology (MMUST) face an equally daunting administrative challenge. Tracking hundreds of students who are scattered across diverse geographic locations, ensuring that they are actually reporting to their assigned work stations, and facilitating the complex paperwork required by the National Industrial Training Authority (NITA) is an impossible task when handled through manual logbooks and physical files. The administrative burden of verifying insurance coverage and managing the tripartite relationship between the student, the university, and the company often results in delays that can jeopardize a student’s graduation timeline.</w:t>
      </w:r>
    </w:p>
    <w:p>
      <w:pPr>
        <w:pStyle w:val="BodyText"/>
        <w:spacing w:lineRule="auto" w:line="276"/>
        <w:rPr>
          <w:color w:val="000000"/>
        </w:rPr>
      </w:pPr>
      <w:r>
        <w:rPr>
          <w:rFonts w:ascii="Times New Roman" w:hAnsi="Times New Roman"/>
          <w:color w:val="000000"/>
          <w:sz w:val="24"/>
          <w:szCs w:val="24"/>
        </w:rPr>
        <w:t>The AISHA project was born from a vision to fix this broken and outdated ecosystem through the strategic application of modern technology. The name AISHA is not just a title but a reflection of our core technical philosophy: AI (Artificial Intelligence) represents the smart decision making at the heart of the system; Student represents the primary user whose professional life we are trying to improve; Hub represents the centralized ecosystem for the players where all stakeholders meet; and A represents the Automation and Attachment focus that drives the platform’s utility. By working in close partnership with industry experts from Datum Limited and the academic coordination team at MMUST, we have developed a platform that does not simply digitize the manual process it completely re-imagines it through a lens of intelligence and transparency.</w:t>
      </w:r>
      <w:bookmarkEnd w:id="13"/>
    </w:p>
    <w:p>
      <w:pPr>
        <w:pStyle w:val="Heading2"/>
        <w:spacing w:lineRule="auto" w:line="276"/>
        <w:rPr>
          <w:color w:val="000000"/>
        </w:rPr>
      </w:pPr>
      <w:bookmarkStart w:id="14" w:name="__RefHeading___Toc7506_1562581415"/>
      <w:bookmarkStart w:id="15" w:name="comprehensive-problem-statement"/>
      <w:bookmarkEnd w:id="14"/>
      <w:r>
        <w:rPr>
          <w:rFonts w:ascii="Times New Roman" w:hAnsi="Times New Roman"/>
          <w:color w:val="000000"/>
          <w:sz w:val="24"/>
          <w:szCs w:val="24"/>
        </w:rPr>
        <w:t>1.2 Comprehensive Problem Statement</w:t>
      </w:r>
    </w:p>
    <w:p>
      <w:pPr>
        <w:pStyle w:val="FirstParagraph"/>
        <w:spacing w:lineRule="auto" w:line="276"/>
        <w:rPr>
          <w:color w:val="000000"/>
        </w:rPr>
      </w:pPr>
      <w:r>
        <w:rPr>
          <w:rFonts w:ascii="Times New Roman" w:hAnsi="Times New Roman"/>
          <w:color w:val="000000"/>
          <w:sz w:val="24"/>
          <w:szCs w:val="24"/>
        </w:rPr>
        <w:t>The current manual system for industrial attachment placement is a relic of a pre digital era that fails to meet the needs of a modern workforce. One of the most critical failures is the “Blind Search” problem, where students spend months applying to companies that either do not have internship programs or have already reached their full capacity. Because there is no centralized database of available opportunities, this results in a massive and avoidable waste of human potential and student financial resources. This lack of transparency also breeds a system where “social capital” or who a student knows within an organization becomes more important than merit. High performing students from underprivileged backgrounds often find themselves overlooked in favor of those with personal ties to hiring managers, creating a profound sense of unfairness in the professional entry phase.</w:t>
      </w:r>
    </w:p>
    <w:p>
      <w:pPr>
        <w:pStyle w:val="BodyText"/>
        <w:spacing w:lineRule="auto" w:line="276"/>
        <w:rPr>
          <w:color w:val="000000"/>
        </w:rPr>
      </w:pPr>
      <w:r>
        <w:rPr>
          <w:rFonts w:ascii="Times New Roman" w:hAnsi="Times New Roman"/>
          <w:color w:val="000000"/>
          <w:sz w:val="24"/>
          <w:szCs w:val="24"/>
        </w:rPr>
        <w:t>Beyond the search itself, the documentation and regulatory requirements in Kenya create a massive administrative bottleneck. The mandatory NITA forms, professional insurance documents, and institutional introduction letters form a complex paper trail that is prone to loss and error. Manually filling out these documents and physically transporting them for signatures leads to significant delays that often mean a student begins their attachment before their legal and insurance paperwork is finalized. This exposes both the student and the university to significant legal risks and potential insurance liability in the event of a workplace accident.</w:t>
      </w:r>
    </w:p>
    <w:p>
      <w:pPr>
        <w:pStyle w:val="BodyText"/>
        <w:spacing w:lineRule="auto" w:line="276"/>
        <w:rPr>
          <w:color w:val="000000"/>
        </w:rPr>
      </w:pPr>
      <w:r>
        <w:rPr>
          <w:rFonts w:ascii="Times New Roman" w:hAnsi="Times New Roman"/>
          <w:color w:val="000000"/>
          <w:sz w:val="24"/>
          <w:szCs w:val="24"/>
        </w:rPr>
        <w:t>Once a student is finally placed, the “monitoring and assessment” phase remains dangerously weak. University supervisors are currently expected to conduct physical site visits to every student, a task that is becoming logistically impossible and prohibitively expensive as student populations grow. The traditional physical logbook is another major point of failure, as it is easily lost, damaged, or even falsified by the student without the university’s knowledge. There is no real time way for a university coordinator to know if a student is actually gaining the required skills or even reporting to work until the very end of the attachment period, when it is often too late to rectify a poor placement. Finally, the persistent mismatch between student skills and organizational needs means that companies often complain about the lack of foundational knowledge in their interns, while students feel they are being used for menial tasks that have no relevance to their degree course.</w:t>
      </w:r>
      <w:bookmarkEnd w:id="15"/>
    </w:p>
    <w:p>
      <w:pPr>
        <w:pStyle w:val="Heading2"/>
        <w:spacing w:lineRule="auto" w:line="276"/>
        <w:rPr>
          <w:color w:val="000000"/>
        </w:rPr>
      </w:pPr>
      <w:bookmarkStart w:id="16" w:name="__RefHeading___Toc7508_1562581415"/>
      <w:bookmarkStart w:id="17" w:name="strategic-objectives-and-project-goals"/>
      <w:bookmarkEnd w:id="16"/>
      <w:r>
        <w:rPr>
          <w:rFonts w:ascii="Times New Roman" w:hAnsi="Times New Roman"/>
          <w:color w:val="000000"/>
          <w:sz w:val="24"/>
          <w:szCs w:val="24"/>
        </w:rPr>
        <w:t>1.3 Strategic Objectives and Project Goals</w:t>
      </w:r>
    </w:p>
    <w:p>
      <w:pPr>
        <w:pStyle w:val="FirstParagraph"/>
        <w:spacing w:lineRule="auto" w:line="276"/>
        <w:rPr>
          <w:color w:val="000000"/>
        </w:rPr>
      </w:pPr>
      <w:r>
        <w:rPr>
          <w:rFonts w:ascii="Times New Roman" w:hAnsi="Times New Roman"/>
          <w:color w:val="000000"/>
          <w:sz w:val="24"/>
          <w:szCs w:val="24"/>
        </w:rPr>
        <w:t>The primary objective of this project was to design, develop, and deploy AISHA as a comprehensive, AI powered platform that transforms the industrial attachment experience into a seamless and intelligent lifecycle. We aimed to build a centralized, multi tenant web ecosystem that serves as a common ground for students, university administrators, and company HR managers alike. A core goal was the creation of an intelligent matching engine that leverages Large Language Models (LLMs), specifically Google Gemini, to perform semantic analysis of student academic records and align them with the specific departmental needs of industrial partners.</w:t>
      </w:r>
    </w:p>
    <w:p>
      <w:pPr>
        <w:pStyle w:val="BodyText"/>
        <w:spacing w:lineRule="auto" w:line="276"/>
        <w:rPr>
          <w:color w:val="000000"/>
        </w:rPr>
      </w:pPr>
      <w:r>
        <w:rPr>
          <w:rFonts w:ascii="Times New Roman" w:hAnsi="Times New Roman"/>
          <w:color w:val="000000"/>
          <w:sz w:val="24"/>
          <w:szCs w:val="24"/>
        </w:rPr>
        <w:t>To solve the monitoring crisis, we aimed to develop a Digital Student Logbook that allows for daily activity recording and digital signing with a clear hierarchical precedence. Furthermore, the project sought to integrate a secure financial gateway using the Safaricom Daraja API to handle all administrative and insurance fees seamlessly. Ultimately, we wanted to ensure that every student’s professional data is stored persistently and securely in the cloud, providing a permanent and verifiable record of their industrial experience that will serve them long after they graduate.</w:t>
      </w:r>
      <w:bookmarkEnd w:id="17"/>
    </w:p>
    <w:p>
      <w:pPr>
        <w:pStyle w:val="Heading2"/>
        <w:spacing w:lineRule="auto" w:line="276"/>
        <w:rPr>
          <w:color w:val="000000"/>
        </w:rPr>
      </w:pPr>
      <w:bookmarkStart w:id="18" w:name="__RefHeading___Toc7510_1562581415"/>
      <w:bookmarkStart w:id="19" w:name="justification-and-expected-impact"/>
      <w:bookmarkEnd w:id="18"/>
      <w:r>
        <w:rPr>
          <w:rFonts w:ascii="Times New Roman" w:hAnsi="Times New Roman"/>
          <w:color w:val="000000"/>
          <w:sz w:val="24"/>
          <w:szCs w:val="24"/>
        </w:rPr>
        <w:t>1.4 Justification and Expected Impact</w:t>
      </w:r>
    </w:p>
    <w:p>
      <w:pPr>
        <w:pStyle w:val="FirstParagraph"/>
        <w:spacing w:lineRule="auto" w:line="276"/>
        <w:rPr>
          <w:color w:val="000000"/>
        </w:rPr>
      </w:pPr>
      <w:r>
        <w:rPr>
          <w:rFonts w:ascii="Times New Roman" w:hAnsi="Times New Roman"/>
          <w:color w:val="000000"/>
          <w:sz w:val="24"/>
          <w:szCs w:val="24"/>
        </w:rPr>
        <w:t>The justification for the AISHA project lies in its potential to radically improve the “School to Work” transition for thousands of Kenyan students. For the student, it removes the financial and physical barriers to finding a placement and ensures that their hard work in the classroom is recognized by the industry. For the university, AISHA provides a high level “Command Center” for attachment coordination, reducing administrative overhead by an estimated 70% while ensuring every student is accounted for and insured. For the industrial partner, the platform provides a pre vetted pool of talent, significantly improving the quality of their internship intake by using AI to identify the “Best Fit” for every department.</w:t>
      </w:r>
      <w:bookmarkEnd w:id="19"/>
    </w:p>
    <w:p>
      <w:pPr>
        <w:pStyle w:val="Heading2"/>
        <w:spacing w:lineRule="auto" w:line="276"/>
        <w:rPr>
          <w:color w:val="000000"/>
        </w:rPr>
      </w:pPr>
      <w:bookmarkStart w:id="20" w:name="__RefHeading___Toc7512_1562581415"/>
      <w:bookmarkStart w:id="21" w:name="project-scope-and-technical-constraints"/>
      <w:bookmarkEnd w:id="20"/>
      <w:r>
        <w:rPr>
          <w:rFonts w:ascii="Times New Roman" w:hAnsi="Times New Roman"/>
          <w:color w:val="000000"/>
          <w:sz w:val="24"/>
          <w:szCs w:val="24"/>
        </w:rPr>
        <w:t>1.5 Project Scope and Technical Constraints</w:t>
      </w:r>
    </w:p>
    <w:p>
      <w:pPr>
        <w:pStyle w:val="FirstParagraph"/>
        <w:spacing w:lineRule="auto" w:line="276"/>
        <w:rPr>
          <w:color w:val="000000"/>
        </w:rPr>
      </w:pPr>
      <w:r>
        <w:rPr>
          <w:rFonts w:ascii="Times New Roman" w:hAnsi="Times New Roman"/>
          <w:color w:val="000000"/>
          <w:sz w:val="24"/>
          <w:szCs w:val="24"/>
        </w:rPr>
        <w:t>The scope of the project encompasses the entire lifecycle of an attachment, from the initial registration and data synchronization phase to the final evaluation and certificate generation. However, the project is not without its constraints. The platform is cloud native and therefore requires a stable internet connection for its core AI and file storage features to function. Furthermore, the system’s intelligence is subject to the rate limits and quotas of external APIs like Google Gemini. To mitigate this, we have implemented a robust local fallback strategy using the Ollama model. Finally, the success of the matching engine remains dependent on the accuracy and completeness of the academic data provided by the university during the initial synchronization phase.</w:t>
      </w:r>
      <w:bookmarkEnd w:id="21"/>
    </w:p>
    <w:p>
      <w:pPr>
        <w:pStyle w:val="Heading1"/>
        <w:spacing w:lineRule="auto" w:line="276"/>
        <w:rPr>
          <w:color w:val="000000"/>
        </w:rPr>
      </w:pPr>
      <w:bookmarkStart w:id="22" w:name="__RefHeading___Toc7514_1562581415"/>
      <w:bookmarkEnd w:id="22"/>
      <w:r>
        <w:rPr>
          <w:rFonts w:ascii="Times New Roman" w:hAnsi="Times New Roman"/>
          <w:color w:val="000000"/>
          <w:sz w:val="24"/>
          <w:szCs w:val="24"/>
        </w:rPr>
        <w:t>CHAPTER 2: LITERATURE REVIEW</w:t>
      </w:r>
    </w:p>
    <w:p>
      <w:pPr>
        <w:pStyle w:val="Heading2"/>
        <w:spacing w:lineRule="auto" w:line="276"/>
        <w:rPr>
          <w:color w:val="000000"/>
        </w:rPr>
      </w:pPr>
      <w:bookmarkStart w:id="23" w:name="__RefHeading___Toc7516_1562581415"/>
      <w:bookmarkStart w:id="24" w:name="X1077d44dc4d8c1df9eeac84ad697e0cc66ac4b5"/>
      <w:bookmarkEnd w:id="23"/>
      <w:r>
        <w:rPr>
          <w:rFonts w:ascii="Times New Roman" w:hAnsi="Times New Roman"/>
          <w:color w:val="000000"/>
          <w:sz w:val="24"/>
          <w:szCs w:val="24"/>
        </w:rPr>
        <w:t>2.1 The Historical Context of Industrial Training</w:t>
      </w:r>
    </w:p>
    <w:p>
      <w:pPr>
        <w:pStyle w:val="FirstParagraph"/>
        <w:spacing w:lineRule="auto" w:line="276"/>
        <w:rPr>
          <w:color w:val="000000"/>
        </w:rPr>
      </w:pPr>
      <w:r>
        <w:rPr>
          <w:rFonts w:ascii="Times New Roman" w:hAnsi="Times New Roman"/>
          <w:color w:val="000000"/>
          <w:sz w:val="24"/>
          <w:szCs w:val="24"/>
        </w:rPr>
        <w:t xml:space="preserve">Industrial attachment is a concept deeply rooted in the traditional apprenticeship models that have existed for centuries. Historically, a master craftsman would take on a young apprentice to pass down specialized skills through direct observation, repetitive practice, and mentorship. In the modern university context, this has evolved into a formalized and regulated partnership between academia and the industrial sector. In Kenya, the National Industrial Training Authority (NITA) was established specifically to oversee this critical process and ensure that the national labor force is adequately trained and competitive. However, while the </w:t>
      </w:r>
      <w:r>
        <w:rPr>
          <w:rFonts w:ascii="Times New Roman" w:hAnsi="Times New Roman"/>
          <w:i/>
          <w:iCs/>
          <w:color w:val="000000"/>
          <w:sz w:val="24"/>
          <w:szCs w:val="24"/>
        </w:rPr>
        <w:t>goals</w:t>
      </w:r>
      <w:r>
        <w:rPr>
          <w:rFonts w:ascii="Times New Roman" w:hAnsi="Times New Roman"/>
          <w:color w:val="000000"/>
          <w:sz w:val="24"/>
          <w:szCs w:val="24"/>
        </w:rPr>
        <w:t xml:space="preserve"> of NITA are inherently modern, the </w:t>
      </w:r>
      <w:r>
        <w:rPr>
          <w:rFonts w:ascii="Times New Roman" w:hAnsi="Times New Roman"/>
          <w:i/>
          <w:iCs/>
          <w:color w:val="000000"/>
          <w:sz w:val="24"/>
          <w:szCs w:val="24"/>
        </w:rPr>
        <w:t>processes</w:t>
      </w:r>
      <w:r>
        <w:rPr>
          <w:rFonts w:ascii="Times New Roman" w:hAnsi="Times New Roman"/>
          <w:color w:val="000000"/>
          <w:sz w:val="24"/>
          <w:szCs w:val="24"/>
        </w:rPr>
        <w:t xml:space="preserve"> currently used by many universities and companies to achieve them have remained stagnant and disconnected from the digital reality of the 21st century.</w:t>
      </w:r>
      <w:bookmarkEnd w:id="24"/>
    </w:p>
    <w:p>
      <w:pPr>
        <w:pStyle w:val="Heading2"/>
        <w:spacing w:lineRule="auto" w:line="276"/>
        <w:rPr>
          <w:color w:val="000000"/>
        </w:rPr>
      </w:pPr>
      <w:bookmarkStart w:id="25" w:name="__RefHeading___Toc7518_1562581415"/>
      <w:bookmarkStart w:id="26" w:name="X2197c327dbc65ef3862c3b21fbc32692432b08f"/>
      <w:bookmarkEnd w:id="25"/>
      <w:r>
        <w:rPr>
          <w:rFonts w:ascii="Times New Roman" w:hAnsi="Times New Roman"/>
          <w:color w:val="000000"/>
          <w:sz w:val="24"/>
          <w:szCs w:val="24"/>
        </w:rPr>
        <w:t>2.2 The Three Phases of Placement System Evolution</w:t>
      </w:r>
    </w:p>
    <w:p>
      <w:pPr>
        <w:pStyle w:val="FirstParagraph"/>
        <w:spacing w:lineRule="auto" w:line="276"/>
        <w:rPr>
          <w:color w:val="000000"/>
        </w:rPr>
      </w:pPr>
      <w:r>
        <w:rPr>
          <w:rFonts w:ascii="Times New Roman" w:hAnsi="Times New Roman"/>
          <w:color w:val="000000"/>
          <w:sz w:val="24"/>
          <w:szCs w:val="24"/>
        </w:rPr>
        <w:t>Placement systems have evolved through three distinct technical phases. Phase 1 was the Manual Era, which relied entirely on physical letters, personal networks, and physical notice boards. Phase 2 saw the introduction of Basic Digital Portals in the early 2000s, but these were often little more than “Digital Notice Boards” that were passive and required significant manual searching by the student. We are now entering Phase 3, spearheaded by platforms like AISHA, which move beyond simple data storage to embrace “Intelligent Systems.” These platforms utilize Artificial Intelligence not just to store data, but to understand the semantic intent behind a job description and the unique professional potential hidden within a student’s academic transcript.</w:t>
      </w:r>
      <w:bookmarkEnd w:id="26"/>
    </w:p>
    <w:p>
      <w:pPr>
        <w:pStyle w:val="Heading2"/>
        <w:spacing w:lineRule="auto" w:line="276"/>
        <w:rPr>
          <w:color w:val="000000"/>
        </w:rPr>
      </w:pPr>
      <w:bookmarkStart w:id="27" w:name="__RefHeading___Toc7520_1562581415"/>
      <w:bookmarkStart w:id="28" w:name="X6a681ea9a9ab61ee1b4a37f8d885275c3f20562"/>
      <w:bookmarkEnd w:id="27"/>
      <w:r>
        <w:rPr>
          <w:rFonts w:ascii="Times New Roman" w:hAnsi="Times New Roman"/>
          <w:color w:val="000000"/>
          <w:sz w:val="24"/>
          <w:szCs w:val="24"/>
        </w:rPr>
        <w:t>2.3 The Impact of Artificial Intelligence on Professional Matching</w:t>
      </w:r>
    </w:p>
    <w:p>
      <w:pPr>
        <w:pStyle w:val="FirstParagraph"/>
        <w:spacing w:lineRule="auto" w:line="276"/>
        <w:rPr>
          <w:color w:val="000000"/>
        </w:rPr>
      </w:pPr>
      <w:r>
        <w:rPr>
          <w:rFonts w:ascii="Times New Roman" w:hAnsi="Times New Roman"/>
          <w:color w:val="000000"/>
          <w:sz w:val="24"/>
          <w:szCs w:val="24"/>
        </w:rPr>
        <w:t>Recent academic research has shown that traditional keyword based matching in recruitment often leads to biased or highly inaccurate results. For example, a student might be a perfect fit for a “Digital Marketing” role because of their specific project work and course units, even if the general keyword “Marketing” does not appear prominently in their course title. Large Language Models (LLMs) solve this problem by using semantic embeddings to understand context. By leveraging the Google Gemini API, AISHA can understand that a student who has excelled in “Statistical Analysis” and “Python” is an ideal candidate for a “Data Analyst” role, even if they are technically enrolled in a general Computer Science degree. This “Semantic Bridge” is what fundamentally sets AISHA apart from traditional job boards and professional networking sites.</w:t>
      </w:r>
      <w:bookmarkEnd w:id="28"/>
    </w:p>
    <w:p>
      <w:pPr>
        <w:pStyle w:val="Heading2"/>
        <w:spacing w:lineRule="auto" w:line="276"/>
        <w:rPr>
          <w:color w:val="000000"/>
        </w:rPr>
      </w:pPr>
      <w:bookmarkStart w:id="29" w:name="__RefHeading___Toc7522_1562581415"/>
      <w:bookmarkStart w:id="30" w:name="digital-monitoring-and-the-learning-loop"/>
      <w:bookmarkEnd w:id="29"/>
      <w:r>
        <w:rPr>
          <w:rFonts w:ascii="Times New Roman" w:hAnsi="Times New Roman"/>
          <w:color w:val="000000"/>
          <w:sz w:val="24"/>
          <w:szCs w:val="24"/>
        </w:rPr>
        <w:t>2.4 Digital Monitoring and the Learning Loop</w:t>
      </w:r>
    </w:p>
    <w:p>
      <w:pPr>
        <w:pStyle w:val="FirstParagraph"/>
        <w:spacing w:lineRule="auto" w:line="276"/>
        <w:rPr>
          <w:color w:val="000000"/>
        </w:rPr>
      </w:pPr>
      <w:r>
        <w:rPr>
          <w:rFonts w:ascii="Times New Roman" w:hAnsi="Times New Roman"/>
          <w:color w:val="000000"/>
          <w:sz w:val="24"/>
          <w:szCs w:val="24"/>
        </w:rPr>
        <w:t>The traditional physical logbook has long been identified as the “weakest link” in the attachment process. Research into e learning and remote monitoring suggests that immediate, high frequency feedback is critical for professional learning. When a student records a daily activity in a digital logbook and receives an immediate “Sign off” or a constructive comment from their supervisor, the learning loop is closed much more effectively than if they had to wait for a monthly physical visit from a university lecturer. The digital logbook ensures that the attachment remains an active learning experience rather than a passive administrative exercise.</w:t>
      </w:r>
      <w:bookmarkEnd w:id="30"/>
    </w:p>
    <w:p>
      <w:pPr>
        <w:pStyle w:val="Heading2"/>
        <w:spacing w:lineRule="auto" w:line="276"/>
        <w:rPr>
          <w:color w:val="000000"/>
        </w:rPr>
      </w:pPr>
      <w:bookmarkStart w:id="31" w:name="__RefHeading___Toc7524_1562581415"/>
      <w:bookmarkStart w:id="32" w:name="X6602ea211d6c56dbc93d789a9b6d5cb93ec4e45"/>
      <w:bookmarkEnd w:id="31"/>
      <w:r>
        <w:rPr>
          <w:rFonts w:ascii="Times New Roman" w:hAnsi="Times New Roman"/>
          <w:color w:val="000000"/>
          <w:sz w:val="24"/>
          <w:szCs w:val="24"/>
        </w:rPr>
        <w:t>2.5 Security, Persistence, and the Cloud Native Shift</w:t>
      </w:r>
    </w:p>
    <w:p>
      <w:pPr>
        <w:pStyle w:val="FirstParagraph"/>
        <w:spacing w:lineRule="auto" w:line="276"/>
        <w:rPr>
          <w:color w:val="000000"/>
        </w:rPr>
      </w:pPr>
      <w:r>
        <w:rPr>
          <w:rFonts w:ascii="Times New Roman" w:hAnsi="Times New Roman"/>
          <w:color w:val="000000"/>
          <w:sz w:val="24"/>
          <w:szCs w:val="24"/>
        </w:rPr>
        <w:t>A major recurring challenge for university portals has been the risk of data loss and system downtime. The move towards cloud native architectures using tools like Supabase for managed databases and object storage ensures that student data is no longer tied to a single physical server that could fail or be wiped during a restart. The AISHA architecture leverages this cloud persistence to ensure that every student’s logs, NITA forms, and final certificates are archived safely for years, providing a permanent and verifiable record of their professional journey.</w:t>
      </w:r>
      <w:bookmarkEnd w:id="32"/>
    </w:p>
    <w:p>
      <w:pPr>
        <w:pStyle w:val="Heading2"/>
        <w:spacing w:lineRule="auto" w:line="276"/>
        <w:rPr>
          <w:color w:val="000000"/>
        </w:rPr>
      </w:pPr>
      <w:bookmarkStart w:id="33" w:name="__RefHeading___Toc7526_1562581415"/>
      <w:bookmarkStart w:id="34" w:name="identifying-the-gap-why-aisha-is-unique"/>
      <w:bookmarkEnd w:id="33"/>
      <w:r>
        <w:rPr>
          <w:rFonts w:ascii="Times New Roman" w:hAnsi="Times New Roman"/>
          <w:color w:val="000000"/>
          <w:sz w:val="24"/>
          <w:szCs w:val="24"/>
        </w:rPr>
        <w:t>2.6 Identifying the Gap: Why AISHA is Unique</w:t>
      </w:r>
    </w:p>
    <w:p>
      <w:pPr>
        <w:pStyle w:val="FirstParagraph"/>
        <w:spacing w:lineRule="auto" w:line="276"/>
        <w:rPr>
          <w:color w:val="000000"/>
        </w:rPr>
      </w:pPr>
      <w:r>
        <w:rPr>
          <w:rFonts w:ascii="Times New Roman" w:hAnsi="Times New Roman"/>
          <w:color w:val="000000"/>
          <w:sz w:val="24"/>
          <w:szCs w:val="24"/>
        </w:rPr>
        <w:t>While professional networking platforms like LinkedIn or general job boards like BrighterMonday exist, they are designed for established professionals and do not handle the unique regulatory and academic needs of a student industrial attachment. These general platforms do not understand NITA compliance, they do not integrate with University Management Systems for credit verification, and they do not provide the specialized tripartite communication required for a successful attachment lifecycle. AISHA is the first comprehensive solution designed specifically to fill this gap in the Kenyan educational and industrial ecosystem, providing a tailored tool for students, educators, and employers.</w:t>
      </w:r>
      <w:bookmarkEnd w:id="34"/>
    </w:p>
    <w:p>
      <w:pPr>
        <w:pStyle w:val="Heading1"/>
        <w:spacing w:lineRule="auto" w:line="276"/>
        <w:rPr>
          <w:color w:val="000000"/>
        </w:rPr>
      </w:pPr>
      <w:bookmarkStart w:id="35" w:name="__RefHeading___Toc7528_1562581415"/>
      <w:bookmarkEnd w:id="35"/>
      <w:r>
        <w:rPr>
          <w:rFonts w:ascii="Times New Roman" w:hAnsi="Times New Roman"/>
          <w:color w:val="000000"/>
          <w:sz w:val="24"/>
          <w:szCs w:val="24"/>
        </w:rPr>
        <w:t>CHAPTER 3: METHODOLOGY</w:t>
      </w:r>
    </w:p>
    <w:p>
      <w:pPr>
        <w:pStyle w:val="Heading2"/>
        <w:spacing w:lineRule="auto" w:line="276"/>
        <w:rPr>
          <w:color w:val="000000"/>
        </w:rPr>
      </w:pPr>
      <w:bookmarkStart w:id="36" w:name="__RefHeading___Toc7530_1562581415"/>
      <w:bookmarkStart w:id="37" w:name="X3e93618f084d27bd78ac2d0fa1f2fef9d7445b8"/>
      <w:bookmarkEnd w:id="36"/>
      <w:r>
        <w:rPr>
          <w:rFonts w:ascii="Times New Roman" w:hAnsi="Times New Roman"/>
          <w:color w:val="000000"/>
          <w:sz w:val="24"/>
          <w:szCs w:val="24"/>
        </w:rPr>
        <w:t>3.1 The Agile Development Philosophy and Scrum Framework</w:t>
      </w:r>
    </w:p>
    <w:p>
      <w:pPr>
        <w:pStyle w:val="FirstParagraph"/>
        <w:spacing w:lineRule="auto" w:line="276"/>
        <w:rPr>
          <w:color w:val="000000"/>
        </w:rPr>
      </w:pPr>
      <w:r>
        <w:rPr>
          <w:rFonts w:ascii="Times New Roman" w:hAnsi="Times New Roman"/>
          <w:color w:val="000000"/>
          <w:sz w:val="24"/>
          <w:szCs w:val="24"/>
        </w:rPr>
        <w:t>The development of the AISHA platform was not a linear process but rather a highly iterative journey that utilized the Agile Development Methodology, specifically the Scrum framework. This choice was driven by the inherent complexity of the project, which required the seamless integration of multiple third party technologies such as the Google Gemini AI, the Safaricom Daraja API for M Pesa, and the Gmail API for institutional communications. Because these technologies often have their own unique constraints and “edge cases,” the Agile approach allowed us to remain flexible and responsive to technical challenges as they arose. We structured our work into two week “Sprints,” each of which began with a rigorous planning session where we identified specific user stories and functional goals to be achieved. Throughout each sprint, we maintained constant communication to identify potential blockers such as the early discovery that Render’s ephemeral disk policy would wipe our local files and we held retrospective meetings at the end of each cycle to analyze our progress and refine our strategy for the next phase. This iterative loop ensured that the final deliverable was not just a piece of software that met a checklist, but a robust platform that had been battle tested through multiple cycles of development, feedback, and refinement.</w:t>
      </w:r>
      <w:bookmarkEnd w:id="37"/>
    </w:p>
    <w:p>
      <w:pPr>
        <w:pStyle w:val="Heading2"/>
        <w:spacing w:lineRule="auto" w:line="276"/>
        <w:rPr>
          <w:color w:val="000000"/>
        </w:rPr>
      </w:pPr>
      <w:bookmarkStart w:id="38" w:name="__RefHeading___Toc7532_1562581415"/>
      <w:bookmarkStart w:id="39" w:name="visualizing-the-sdlc-model"/>
      <w:bookmarkEnd w:id="38"/>
      <w:r>
        <w:rPr>
          <w:rFonts w:ascii="Times New Roman" w:hAnsi="Times New Roman"/>
          <w:color w:val="000000"/>
          <w:sz w:val="24"/>
          <w:szCs w:val="24"/>
        </w:rPr>
        <w:t>3.2 Visualizing the SDLC Model</w:t>
      </w:r>
    </w:p>
    <w:p>
      <w:pPr>
        <w:pStyle w:val="FirstParagraph"/>
        <w:spacing w:lineRule="auto" w:line="276"/>
        <w:rPr>
          <w:color w:val="000000"/>
        </w:rPr>
      </w:pPr>
      <w:r>
        <w:rPr>
          <w:rFonts w:ascii="Times New Roman" w:hAnsi="Times New Roman"/>
          <w:color w:val="000000"/>
          <w:sz w:val="24"/>
          <w:szCs w:val="24"/>
        </w:rPr>
        <w:t>To ensure that all stakeholders understood our development journey, we mapped our progress against a specialized Agile SDLC model. This model illustrates the continuous loop of design, development, and testing that allowed us to deliver a high quality platform in a condensed timeframe.</w:t>
      </w:r>
    </w:p>
    <w:p>
      <w:pPr>
        <w:pStyle w:val="BodyText"/>
        <w:spacing w:lineRule="auto" w:line="276"/>
        <w:rPr>
          <w:color w:val="000000"/>
        </w:rPr>
      </w:pPr>
      <w:r>
        <w:rPr>
          <w:rFonts w:ascii="Times New Roman" w:hAnsi="Times New Roman"/>
          <w:color w:val="000000"/>
          <w:sz w:val="24"/>
          <w:szCs w:val="24"/>
        </w:rPr>
        <w:t>Figure 1</w:t>
      </w:r>
    </w:p>
    <w:p>
      <w:pPr>
        <w:pStyle w:val="SourceCode"/>
        <w:spacing w:lineRule="auto" w:line="276"/>
        <w:rPr>
          <w:rFonts w:ascii="Times New Roman" w:hAnsi="Times New Roman"/>
          <w:color w:val="000000"/>
          <w:sz w:val="24"/>
          <w:szCs w:val="24"/>
        </w:rPr>
      </w:pPr>
      <w:r>
        <w:rPr>
          <w:rFonts w:ascii="Times New Roman" w:hAnsi="Times New Roman"/>
          <w:color w:val="000000"/>
          <w:sz w:val="24"/>
          <w:szCs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24421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5943600" cy="3244215"/>
                    </a:xfrm>
                    <a:prstGeom prst="rect">
                      <a:avLst/>
                    </a:prstGeom>
                    <a:noFill/>
                  </pic:spPr>
                </pic:pic>
              </a:graphicData>
            </a:graphic>
          </wp:anchor>
        </w:drawing>
      </w:r>
      <w:bookmarkEnd w:id="39"/>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bookmarkStart w:id="40" w:name="__RefHeading___Toc7534_1562581415"/>
      <w:bookmarkStart w:id="41" w:name="X856b396ba2ddca5a42a20323873c63164c65938"/>
      <w:bookmarkEnd w:id="40"/>
      <w:r>
        <w:rPr>
          <w:rFonts w:ascii="Times New Roman" w:hAnsi="Times New Roman"/>
          <w:color w:val="000000"/>
          <w:sz w:val="24"/>
          <w:szCs w:val="24"/>
        </w:rPr>
        <w:t>3.3 Comprehensive System Analysis and Stakeholder Engagement</w:t>
      </w:r>
    </w:p>
    <w:p>
      <w:pPr>
        <w:pStyle w:val="FirstParagraph"/>
        <w:spacing w:lineRule="auto" w:line="276"/>
        <w:rPr>
          <w:color w:val="000000"/>
        </w:rPr>
      </w:pPr>
      <w:r>
        <w:rPr>
          <w:rFonts w:ascii="Times New Roman" w:hAnsi="Times New Roman"/>
          <w:color w:val="000000"/>
          <w:sz w:val="24"/>
          <w:szCs w:val="24"/>
        </w:rPr>
        <w:t>Before a single line of code was written, we conducted a thorough system analysis to understand the deep seated needs of our diverse user base. This involved a detailed stakeholder analysis where we identified the primary actors in the AISHA ecosystem: the student, the university attachment coordinator, the company supervisor, and the system administrator. For the student, the primary need was a simple, mobile accessible interface that could automate the exhausting task of searching for placements and managing mandatory paperwork. For the university coordinator, the focus was on high level oversight the ability to see every active student at a glance and audit their professional progress without the need for constant physical travel. The company supervisor required a tool that was low friction, allowing them to review talent and sign off on daily tasks with minimal administrative overhead. Finally, the system administrator required a robust set of tools for monitoring system health, managing AI API quotas, and ensuring the overall security of the platform.</w:t>
      </w:r>
    </w:p>
    <w:p>
      <w:pPr>
        <w:pStyle w:val="BodyText"/>
        <w:spacing w:lineRule="auto" w:line="276"/>
        <w:rPr>
          <w:color w:val="000000"/>
        </w:rPr>
      </w:pPr>
      <w:r>
        <w:rPr>
          <w:rFonts w:ascii="Times New Roman" w:hAnsi="Times New Roman"/>
          <w:color w:val="000000"/>
          <w:sz w:val="24"/>
          <w:szCs w:val="24"/>
        </w:rPr>
        <w:t>Our feasibility study further validated that the project was not only technically possible but also operationally and economically viable. From a technical standpoint, we proved that modern Large Language Models like Google Gemini could indeed handle the complex semantic matching required to align diverse student transcripts with departmental needs. Operationally, our engagement with the academic staff at Masinde Muliro University confirmed that there was a massive demand for a platform that could digitize the paper heavy and fragmented attachment process. Economically, by leveraging cloud native services like Supabase and Vercel, we were able to build a professional grade platform with a scalable cost structure that could easily accommodate the growth of the student population over time.</w:t>
      </w:r>
      <w:bookmarkEnd w:id="41"/>
    </w:p>
    <w:p>
      <w:pPr>
        <w:pStyle w:val="Normal"/>
        <w:spacing w:lineRule="auto" w:line="276"/>
        <w:rPr>
          <w:b w:val="false"/>
          <w:color w:val="000000"/>
        </w:rPr>
      </w:pPr>
      <w:r>
        <w:rPr>
          <w:b w:val="false"/>
          <w:color w:val="000000"/>
        </w:rPr>
      </w:r>
    </w:p>
    <w:p>
      <w:pPr>
        <w:pStyle w:val="Heading2"/>
        <w:spacing w:lineRule="auto" w:line="276"/>
        <w:rPr>
          <w:color w:val="000000"/>
        </w:rPr>
      </w:pPr>
      <w:bookmarkStart w:id="42" w:name="__RefHeading___Toc7536_1562581415"/>
      <w:bookmarkStart w:id="43" w:name="X594c9ffe73601c626ba3f18a6e9a338f464807b"/>
      <w:bookmarkEnd w:id="42"/>
      <w:r>
        <w:rPr>
          <w:rFonts w:ascii="Times New Roman" w:hAnsi="Times New Roman"/>
          <w:color w:val="000000"/>
          <w:sz w:val="24"/>
          <w:szCs w:val="24"/>
        </w:rPr>
        <w:t>3.4 The Intelligent Matching Workflow and 24 Hour Window</w:t>
      </w:r>
    </w:p>
    <w:p>
      <w:pPr>
        <w:pStyle w:val="FirstParagraph"/>
        <w:spacing w:lineRule="auto" w:line="276"/>
        <w:rPr>
          <w:color w:val="000000"/>
        </w:rPr>
      </w:pPr>
      <w:r>
        <w:rPr>
          <w:rFonts w:ascii="Times New Roman" w:hAnsi="Times New Roman"/>
          <w:color w:val="000000"/>
          <w:sz w:val="24"/>
          <w:szCs w:val="24"/>
        </w:rPr>
        <w:t>The core innovation of the AISHA platform lies in its “Single Match” philosophy, which replaces the overwhelming and often biased multi-choice job boards of the past. When a student initiates a matching request, the AI engine performs an exhaustive analysis of their academic profile and returns only one result: the absolute “Best Fit” placement. This approach ensures that students are not paralyzed by choice and that every recommendation is backed by a high degree of technical confidence. Once this match is presented, a 24 hour “Preference Window” is opened. During this time, the student has the opportunity to review the placement and, if they feel a misalignment exists, they can adjust their professional preferences or update their skill profile. If the student makes no changes within this 24 hour window, the system automatically proceeds with the placement, initiating the autogeneration of the necessary Cover and Acceptance letters. This streamlined workflow ensures rapid placement while still providing the student with a critical window of agency and control over their professional journey.</w:t>
      </w:r>
      <w:bookmarkEnd w:id="43"/>
    </w:p>
    <w:p>
      <w:pPr>
        <w:pStyle w:val="Heading2"/>
        <w:spacing w:lineRule="auto" w:line="276"/>
        <w:rPr>
          <w:color w:val="000000"/>
        </w:rPr>
      </w:pPr>
      <w:bookmarkStart w:id="44" w:name="__RefHeading___Toc7538_1562581415"/>
      <w:bookmarkStart w:id="45" w:name="X4658eb2b9416a49bc4add4bb1451e3058fc96a5"/>
      <w:bookmarkEnd w:id="44"/>
      <w:r>
        <w:rPr>
          <w:rFonts w:ascii="Times New Roman" w:hAnsi="Times New Roman"/>
          <w:color w:val="000000"/>
          <w:sz w:val="24"/>
          <w:szCs w:val="24"/>
        </w:rPr>
        <w:t>3.5 Technical Deviations and Architectural Pivots</w:t>
      </w:r>
    </w:p>
    <w:p>
      <w:pPr>
        <w:pStyle w:val="FirstParagraph"/>
        <w:spacing w:lineRule="auto" w:line="276"/>
        <w:rPr>
          <w:color w:val="000000"/>
        </w:rPr>
      </w:pPr>
      <w:r>
        <w:rPr>
          <w:rFonts w:ascii="Times New Roman" w:hAnsi="Times New Roman"/>
          <w:color w:val="000000"/>
          <w:sz w:val="24"/>
          <w:szCs w:val="24"/>
        </w:rPr>
        <w:t>One of the most important aspects of our methodology was our willingness to pivot when real world testing revealed weaknesses in our initial plan. For instance, our original proposal considered using a local Ollama model as a fallback to keep data on site. However, as development progressed, we discovered that the Render free tier environment could not support the heavy resource requirements of a localized Large Language Model. We therefore pivoted to a more robust “Cloud Primary” strategy, focusing entirely on optimizing our interaction with the Google Gemini API. This move allowed us to reallocate our system resources towards improving the accuracy of our semantic matching and the speed of our document automation services.</w:t>
      </w:r>
    </w:p>
    <w:p>
      <w:pPr>
        <w:pStyle w:val="BodyText"/>
        <w:spacing w:lineRule="auto" w:line="276"/>
        <w:rPr>
          <w:color w:val="000000"/>
        </w:rPr>
      </w:pPr>
      <w:r>
        <w:rPr>
          <w:rFonts w:ascii="Times New Roman" w:hAnsi="Times New Roman"/>
          <w:color w:val="000000"/>
          <w:sz w:val="24"/>
          <w:szCs w:val="24"/>
        </w:rPr>
        <w:t>Similarly, our initial attempt to store student documents and photos on the local server’s disk was quickly abandoned when we realized that Render’s server restart policy would wipe the ephemeral filesystem daily. We successfully transitioned to Supabase Storage, a move that provided the permanent, bucket based persistence required for institutional records. We also moved away from traditional SMTP email servers, which often struggle with deliverability, and instead integrated the Gmail API through the Google Cloud Console. This ensured that every critical notification from AISHA whether it was a placement approval for a student or a security alert always reached the user’s primary inbox, solving the deliverability issues that have plagued university systems for years.</w:t>
      </w:r>
      <w:bookmarkEnd w:id="45"/>
    </w:p>
    <w:p>
      <w:pPr>
        <w:pStyle w:val="Heading2"/>
        <w:spacing w:lineRule="auto" w:line="276"/>
        <w:rPr>
          <w:color w:val="000000"/>
        </w:rPr>
      </w:pPr>
      <w:bookmarkStart w:id="46" w:name="__RefHeading___Toc7540_1562581415"/>
      <w:bookmarkStart w:id="47" w:name="X046350922f4ce2d117054efe41e1dad70b224df"/>
      <w:bookmarkEnd w:id="46"/>
      <w:r>
        <w:rPr>
          <w:rFonts w:ascii="Times New Roman" w:hAnsi="Times New Roman"/>
          <w:color w:val="000000"/>
          <w:sz w:val="24"/>
          <w:szCs w:val="24"/>
        </w:rPr>
        <w:t>3.6 The Role of Supervisory Guidance: Insights from Dr. Charles Muango</w:t>
      </w:r>
    </w:p>
    <w:p>
      <w:pPr>
        <w:pStyle w:val="FirstParagraph"/>
        <w:spacing w:lineRule="auto" w:line="276"/>
        <w:rPr>
          <w:color w:val="000000"/>
        </w:rPr>
      </w:pPr>
      <w:r>
        <w:rPr>
          <w:rFonts w:ascii="Times New Roman" w:hAnsi="Times New Roman"/>
          <w:color w:val="000000"/>
          <w:sz w:val="24"/>
          <w:szCs w:val="24"/>
        </w:rPr>
        <w:t>The technical and administrative direction of the AISHA project was profoundly influenced by our intensive consultations with Dr. Charles Muango. As the Industrial Attachment Coordinator for Masinde Muliro University of Science and Technology (MMUST), Dr. Muango provided a level of practical insight that no textbook or online tutorial could offer. He helped us understand that the attachment process is not just about finding a job; it is about a complex web of academic oversight and professional verification. It was Dr. Muango who emphasized the critical importance of a tamper proof digital logbook and a clear hierarchical signing precedence where the student’s entry must be verified by the company supervisor before it can even be audited by the university. His guidance ensured that we weren’t just building a “cool tech tool,” but rather a rigorous administrative platform that solves the actual problems faced by the coordinators at MMUST. He pushed us to consider how the platform could automate the generation of acceptance letters and assignment documents, leading directly to our current high-speed document pipeline.</w:t>
      </w:r>
      <w:bookmarkEnd w:id="47"/>
    </w:p>
    <w:p>
      <w:pPr>
        <w:pStyle w:val="Heading1"/>
        <w:spacing w:lineRule="auto" w:line="276"/>
        <w:rPr>
          <w:color w:val="000000"/>
        </w:rPr>
      </w:pPr>
      <w:bookmarkStart w:id="48" w:name="__RefHeading___Toc7542_1562581415"/>
      <w:bookmarkEnd w:id="48"/>
      <w:r>
        <w:rPr>
          <w:rFonts w:ascii="Times New Roman" w:hAnsi="Times New Roman"/>
          <w:color w:val="000000"/>
          <w:sz w:val="24"/>
          <w:szCs w:val="24"/>
        </w:rPr>
        <w:t>CHAPTER 4: IMPLEMENTATION / WORK PERFORMED</w:t>
      </w:r>
    </w:p>
    <w:p>
      <w:pPr>
        <w:pStyle w:val="Heading2"/>
        <w:spacing w:lineRule="auto" w:line="276"/>
        <w:rPr>
          <w:color w:val="000000"/>
        </w:rPr>
      </w:pPr>
      <w:bookmarkStart w:id="49" w:name="__RefHeading___Toc7544_1562581415"/>
      <w:bookmarkStart w:id="50" w:name="X807e03cb0a6f974724293a5a43a334a063d1d81"/>
      <w:bookmarkEnd w:id="49"/>
      <w:r>
        <w:rPr>
          <w:rFonts w:ascii="Times New Roman" w:hAnsi="Times New Roman"/>
          <w:color w:val="000000"/>
          <w:sz w:val="24"/>
          <w:szCs w:val="24"/>
        </w:rPr>
        <w:t>4.1 The Decoupled High Availability Architecture</w:t>
      </w:r>
    </w:p>
    <w:p>
      <w:pPr>
        <w:pStyle w:val="FirstParagraph"/>
        <w:spacing w:lineRule="auto" w:line="276"/>
        <w:rPr>
          <w:color w:val="000000"/>
        </w:rPr>
      </w:pPr>
      <w:r>
        <w:rPr>
          <w:rFonts w:ascii="Times New Roman" w:hAnsi="Times New Roman"/>
          <w:color w:val="000000"/>
          <w:sz w:val="24"/>
          <w:szCs w:val="24"/>
        </w:rPr>
        <w:t>The AISHA platform is built upon a modern, decoupled architecture that was specifically designed to ensure both modularity and high availability. We chose a Model View Controller (MVC) pattern for our backend service to maintain a clean separation of concerns between our data logic, our business rules, and our API endpoints. For the frontend, we utilized a component based architecture which allows us to reuse UI elements across the different dashboards for students, companies, and institutions. This architectural decision was critical because it allowed our team to work on the AI matching logic independently of the user interface, ensuring that a change in one layer did not cause an unexpected failure in another. By hosting our frontend on Vercel and our backend on Render, we were able to create a globally distributed system that remains responsive even as the student population scales.</w:t>
      </w:r>
      <w:bookmarkEnd w:id="50"/>
    </w:p>
    <w:p>
      <w:pPr>
        <w:pStyle w:val="Normal"/>
        <w:spacing w:lineRule="auto" w:line="276"/>
        <w:rPr>
          <w:b w:val="false"/>
          <w:color w:val="000000"/>
        </w:rPr>
      </w:pPr>
      <w:r>
        <w:rPr>
          <w:b w:val="false"/>
          <w:color w:val="000000"/>
        </w:rPr>
      </w:r>
    </w:p>
    <w:p>
      <w:pPr>
        <w:pStyle w:val="Heading2"/>
        <w:spacing w:lineRule="auto" w:line="276"/>
        <w:rPr>
          <w:color w:val="000000"/>
        </w:rPr>
      </w:pPr>
      <w:bookmarkStart w:id="51" w:name="__RefHeading___Toc7546_1562581415"/>
      <w:bookmarkStart w:id="52" w:name="X345ebd67bd05b1dcbae5610281498b07c14a988"/>
      <w:bookmarkEnd w:id="51"/>
      <w:r>
        <w:rPr>
          <w:rFonts w:ascii="Times New Roman" w:hAnsi="Times New Roman"/>
          <w:color w:val="000000"/>
          <w:sz w:val="24"/>
          <w:szCs w:val="24"/>
        </w:rPr>
        <w:t>4.2 Visualizing Stakeholder Interactions: Use Case Diagram</w:t>
      </w:r>
    </w:p>
    <w:p>
      <w:pPr>
        <w:pStyle w:val="FirstParagraph"/>
        <w:spacing w:lineRule="auto" w:line="276"/>
        <w:rPr>
          <w:color w:val="000000"/>
        </w:rPr>
      </w:pPr>
      <w:r>
        <w:rPr>
          <w:rFonts w:ascii="Times New Roman" w:hAnsi="Times New Roman"/>
          <w:color w:val="000000"/>
          <w:sz w:val="24"/>
          <w:szCs w:val="24"/>
        </w:rPr>
        <w:t>To understand the functional scope of the platform, we developed a comprehensive Use Case Diagram. This visual model identifies the primary roles within the AISHA ecosystem and the specific system features they are authorized to interact with, providing a clear map of our role based access control logic.</w:t>
      </w:r>
    </w:p>
    <w:p>
      <w:pPr>
        <w:pStyle w:val="Normal"/>
        <w:spacing w:lineRule="auto" w:line="276"/>
        <w:rPr>
          <w:rFonts w:ascii="Times New Roman" w:hAnsi="Times New Roman"/>
          <w:b w:val="false"/>
          <w:color w:val="000000"/>
          <w:sz w:val="24"/>
          <w:szCs w:val="24"/>
        </w:rPr>
      </w:pPr>
      <w:r>
        <w:rPr>
          <w:rFonts w:ascii="Times New Roman" w:hAnsi="Times New Roman"/>
          <w:b w:val="false"/>
          <w:color w:val="000000"/>
          <w:sz w:val="24"/>
          <w:szCs w:val="24"/>
        </w:rPr>
      </w:r>
      <w:bookmarkEnd w:id="52"/>
    </w:p>
    <w:p>
      <w:pPr>
        <w:pStyle w:val="Normal"/>
        <w:spacing w:lineRule="auto" w:line="276"/>
        <w:rPr>
          <w:rFonts w:ascii="Times New Roman" w:hAnsi="Times New Roman"/>
          <w:b w:val="false"/>
          <w:color w:val="000000"/>
          <w:sz w:val="24"/>
          <w:szCs w:val="24"/>
        </w:rPr>
      </w:pPr>
      <w:r>
        <w:rPr>
          <w:rFonts w:ascii="Times New Roman" w:hAnsi="Times New Roman"/>
          <w:b w:val="false"/>
          <w:color w:val="000000"/>
          <w:sz w:val="24"/>
          <w:szCs w:val="24"/>
        </w:rPr>
      </w:r>
    </w:p>
    <w:p>
      <w:pPr>
        <w:pStyle w:val="Normal"/>
        <w:spacing w:lineRule="auto" w:line="276"/>
        <w:rPr>
          <w:rFonts w:ascii="Times New Roman" w:hAnsi="Times New Roman"/>
          <w:b w:val="false"/>
          <w:color w:val="000000"/>
          <w:sz w:val="24"/>
          <w:szCs w:val="24"/>
        </w:rPr>
      </w:pPr>
      <w:r>
        <w:rPr>
          <w:rFonts w:ascii="Times New Roman" w:hAnsi="Times New Roman"/>
          <w:b w:val="false"/>
          <w:color w:val="000000"/>
          <w:sz w:val="24"/>
          <w:szCs w:val="24"/>
        </w:rPr>
      </w:r>
    </w:p>
    <w:p>
      <w:pPr>
        <w:pStyle w:val="Normal"/>
        <w:spacing w:lineRule="auto" w:line="276"/>
        <w:rPr>
          <w:rFonts w:ascii="Times New Roman" w:hAnsi="Times New Roman"/>
          <w:b w:val="false"/>
          <w:color w:val="000000"/>
          <w:sz w:val="24"/>
          <w:szCs w:val="24"/>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2442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5943600" cy="3244215"/>
                    </a:xfrm>
                    <a:prstGeom prst="rect">
                      <a:avLst/>
                    </a:prstGeom>
                    <a:noFill/>
                  </pic:spPr>
                </pic:pic>
              </a:graphicData>
            </a:graphic>
          </wp:anchor>
        </w:drawing>
      </w:r>
      <w:r>
        <w:rPr>
          <w:rFonts w:ascii="Times New Roman" w:hAnsi="Times New Roman"/>
          <w:b w:val="false"/>
          <w:color w:val="000000"/>
          <w:sz w:val="24"/>
          <w:szCs w:val="24"/>
        </w:rPr>
        <w:t>Figure 2</w:t>
      </w:r>
    </w:p>
    <w:p>
      <w:pPr>
        <w:pStyle w:val="Heading2"/>
        <w:spacing w:lineRule="auto" w:line="276"/>
        <w:rPr>
          <w:color w:val="000000"/>
        </w:rPr>
      </w:pPr>
      <w:bookmarkStart w:id="53" w:name="__RefHeading___Toc7548_1562581415"/>
      <w:bookmarkStart w:id="54" w:name="X268ce61a4b6c51a3494ee564a50ca7a7f1a2d45"/>
      <w:bookmarkEnd w:id="53"/>
      <w:r>
        <w:rPr>
          <w:rFonts w:ascii="Times New Roman" w:hAnsi="Times New Roman"/>
          <w:color w:val="000000"/>
          <w:sz w:val="24"/>
          <w:szCs w:val="24"/>
        </w:rPr>
        <w:t>4.3 Data Flow and Logical Processing: DFD Level 1</w:t>
      </w:r>
    </w:p>
    <w:p>
      <w:pPr>
        <w:pStyle w:val="FirstParagraph"/>
        <w:spacing w:lineRule="auto" w:line="276"/>
        <w:rPr>
          <w:color w:val="000000"/>
        </w:rPr>
      </w:pPr>
      <w:r>
        <w:rPr>
          <w:rFonts w:ascii="Times New Roman" w:hAnsi="Times New Roman"/>
          <w:color w:val="000000"/>
          <w:sz w:val="24"/>
          <w:szCs w:val="24"/>
        </w:rPr>
        <w:t>The following Data Flow Diagram (DFD) illustrates how information moves through the AISHA system, from the initial input of student data to the generation of final professional records. It highlights the central role of our AI services and our cloud storage layers in the overall data lifecycle.</w:t>
      </w:r>
    </w:p>
    <w:p>
      <w:pPr>
        <w:pStyle w:val="Normal"/>
        <w:spacing w:lineRule="auto" w:line="276"/>
        <w:jc w:val="center"/>
        <w:rPr>
          <w:b/>
          <w:color w:val="000000"/>
        </w:rPr>
      </w:pPr>
      <w:r>
        <w:rPr>
          <w:b/>
          <w:color w:val="000000"/>
        </w:rPr>
      </w:r>
    </w:p>
    <w:p>
      <w:pPr>
        <w:pStyle w:val="SourceCode"/>
        <w:spacing w:lineRule="auto" w:line="276"/>
        <w:rPr>
          <w:rStyle w:val="VerbatimChar"/>
          <w:rFonts w:ascii="Times New Roman" w:hAnsi="Times New Roman"/>
          <w:color w:val="000000"/>
          <w:sz w:val="24"/>
          <w:szCs w:val="24"/>
        </w:rPr>
      </w:pPr>
      <w:r>
        <w:rPr/>
      </w:r>
      <w:bookmarkEnd w:id="54"/>
    </w:p>
    <w:p>
      <w:pPr>
        <w:pStyle w:val="SourceCode"/>
        <w:spacing w:lineRule="auto" w:line="276"/>
        <w:rPr>
          <w:rStyle w:val="VerbatimChar"/>
          <w:rFonts w:ascii="Times New Roman" w:hAnsi="Times New Roman"/>
          <w:color w:val="000000"/>
          <w:sz w:val="24"/>
          <w:szCs w:val="24"/>
        </w:rPr>
      </w:pPr>
      <w:r>
        <w:rPr/>
      </w:r>
    </w:p>
    <w:p>
      <w:pPr>
        <w:pStyle w:val="SourceCode"/>
        <w:spacing w:lineRule="auto" w:line="276"/>
        <w:rPr>
          <w:rStyle w:val="VerbatimChar"/>
          <w:rFonts w:ascii="Times New Roman" w:hAnsi="Times New Roman"/>
          <w:color w:val="000000"/>
          <w:sz w:val="24"/>
          <w:szCs w:val="24"/>
        </w:rPr>
      </w:pPr>
      <w:r>
        <w:rPr/>
      </w:r>
    </w:p>
    <w:p>
      <w:pPr>
        <w:pStyle w:val="SourceCode"/>
        <w:spacing w:lineRule="auto" w:line="276"/>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2442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4"/>
                    <a:stretch>
                      <a:fillRect/>
                    </a:stretch>
                  </pic:blipFill>
                  <pic:spPr bwMode="auto">
                    <a:xfrm>
                      <a:off x="0" y="0"/>
                      <a:ext cx="5943600" cy="3244215"/>
                    </a:xfrm>
                    <a:prstGeom prst="rect">
                      <a:avLst/>
                    </a:prstGeom>
                    <a:noFill/>
                  </pic:spPr>
                </pic:pic>
              </a:graphicData>
            </a:graphic>
          </wp:anchor>
        </w:drawing>
      </w:r>
      <w:r>
        <w:rPr>
          <w:rStyle w:val="VerbatimChar"/>
          <w:rFonts w:ascii="Times New Roman" w:hAnsi="Times New Roman"/>
          <w:color w:val="000000"/>
          <w:sz w:val="24"/>
          <w:szCs w:val="24"/>
        </w:rPr>
        <w:t>Figure 3</w:t>
      </w:r>
    </w:p>
    <w:p>
      <w:pPr>
        <w:pStyle w:val="Heading2"/>
        <w:spacing w:lineRule="auto" w:line="276"/>
        <w:rPr>
          <w:color w:val="000000"/>
        </w:rPr>
      </w:pPr>
      <w:bookmarkStart w:id="55" w:name="__RefHeading___Toc7550_1562581415"/>
      <w:bookmarkStart w:id="56" w:name="X264181a3f144056f707c107f35b2599d0367b57"/>
      <w:bookmarkEnd w:id="55"/>
      <w:r>
        <w:rPr>
          <w:rFonts w:ascii="Times New Roman" w:hAnsi="Times New Roman"/>
          <w:color w:val="000000"/>
          <w:sz w:val="24"/>
          <w:szCs w:val="24"/>
        </w:rPr>
        <w:t>4.4 The Database Blueprint: Entity Relationship Diagram (ERD)</w:t>
      </w:r>
    </w:p>
    <w:p>
      <w:pPr>
        <w:pStyle w:val="FirstParagraph"/>
        <w:spacing w:lineRule="auto" w:line="276"/>
        <w:rPr>
          <w:color w:val="000000"/>
        </w:rPr>
      </w:pPr>
      <w:r>
        <w:rPr>
          <w:rFonts w:ascii="Times New Roman" w:hAnsi="Times New Roman"/>
          <w:color w:val="000000"/>
          <w:sz w:val="24"/>
          <w:szCs w:val="24"/>
        </w:rPr>
        <w:t>The core of AISHA’s data integrity lies in its highly normalized PostgreSQL schema. The following ERD shows the relationships between our primary tables, ensuring that every professional record is linked back to a verified student and a specific industrial opportunity.</w:t>
      </w:r>
    </w:p>
    <w:p>
      <w:pPr>
        <w:pStyle w:val="SourceCode"/>
        <w:spacing w:lineRule="auto" w:line="276"/>
        <w:rPr>
          <w:rStyle w:val="VerbatimChar"/>
          <w:rFonts w:ascii="Times New Roman" w:hAnsi="Times New Roman"/>
          <w:color w:val="000000"/>
          <w:sz w:val="24"/>
          <w:szCs w:val="24"/>
        </w:rPr>
      </w:pPr>
      <w:r>
        <w:rPr/>
      </w:r>
      <w:bookmarkEnd w:id="56"/>
    </w:p>
    <w:p>
      <w:pPr>
        <w:pStyle w:val="SourceCode"/>
        <w:spacing w:lineRule="auto" w:line="276"/>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302514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5"/>
                    <a:stretch>
                      <a:fillRect/>
                    </a:stretch>
                  </pic:blipFill>
                  <pic:spPr bwMode="auto">
                    <a:xfrm>
                      <a:off x="0" y="0"/>
                      <a:ext cx="5943600" cy="3025140"/>
                    </a:xfrm>
                    <a:prstGeom prst="rect">
                      <a:avLst/>
                    </a:prstGeom>
                    <a:noFill/>
                  </pic:spPr>
                </pic:pic>
              </a:graphicData>
            </a:graphic>
          </wp:anchor>
        </w:drawing>
      </w:r>
      <w:r>
        <w:rPr>
          <w:rStyle w:val="VerbatimChar"/>
          <w:rFonts w:ascii="Times New Roman" w:hAnsi="Times New Roman"/>
          <w:color w:val="000000"/>
          <w:sz w:val="24"/>
          <w:szCs w:val="24"/>
        </w:rPr>
        <w:t xml:space="preserve">Figure 4 </w:t>
      </w:r>
    </w:p>
    <w:p>
      <w:pPr>
        <w:pStyle w:val="Heading2"/>
        <w:spacing w:lineRule="auto" w:line="276"/>
        <w:rPr>
          <w:color w:val="000000"/>
        </w:rPr>
      </w:pPr>
      <w:bookmarkStart w:id="57" w:name="__RefHeading___Toc7552_1562581415"/>
      <w:bookmarkStart w:id="58" w:name="X0909391f63fdf1969f472e9a95a970ab858062c"/>
      <w:bookmarkEnd w:id="57"/>
      <w:r>
        <w:rPr>
          <w:rFonts w:ascii="Times New Roman" w:hAnsi="Times New Roman"/>
          <w:color w:val="000000"/>
          <w:sz w:val="24"/>
          <w:szCs w:val="24"/>
        </w:rPr>
        <w:t>4.5 Tripartite Design and Responsive User Interfaces</w:t>
      </w:r>
    </w:p>
    <w:p>
      <w:pPr>
        <w:pStyle w:val="FirstParagraph"/>
        <w:spacing w:lineRule="auto" w:line="276"/>
        <w:rPr>
          <w:color w:val="000000"/>
        </w:rPr>
      </w:pPr>
      <w:r>
        <w:rPr>
          <w:rFonts w:ascii="Times New Roman" w:hAnsi="Times New Roman"/>
          <w:color w:val="000000"/>
          <w:sz w:val="24"/>
          <w:szCs w:val="24"/>
        </w:rPr>
        <w:t>At the heart of the AISHA design philosophy is the need to serve three very different groups of users with a single, unified experience. We utilized the Chakra UI design system to build a “Single Page Application” (SPA) that feels fluid and modern. Every interface was designed to be “mobile first,” a requirement that Dr. Charles Muango emphasized as critical for students who may be logging their progress from remote industrial sites where they only have access to a smartphone. We used custom theme tokens to support both Light and Dark modes, ensuring that the platform remains readable in any lighting environment. This focus on “responsive aesthetics” was about ensuring that the platform was accessible to every user, regardless of their hardware or their physical environment.</w:t>
      </w:r>
    </w:p>
    <w:p>
      <w:pPr>
        <w:pStyle w:val="BodyText"/>
        <w:spacing w:lineRule="auto" w:line="276"/>
        <w:rPr>
          <w:color w:val="000000"/>
        </w:rPr>
      </w:pPr>
      <w:r>
        <w:rPr>
          <w:rFonts w:ascii="Times New Roman" w:hAnsi="Times New Roman"/>
          <w:color w:val="000000"/>
          <w:sz w:val="24"/>
          <w:szCs w:val="24"/>
        </w:rPr>
        <w:t>To manage the complex internal state of these interfaces such as the real time matching scores or the status of a pending M Pesa transaction we implemented Redux Toolkit. This allowed us to maintain a “Single Source of Truth” within the frontend application, preventing the UI from getting “out of sync” with the backend database. When a student receives an approval from a company, the notification is pushed to their dashboard via WebSockets (using Socket.io) and the Redux state is updated instantly, providing a seamless and professional experience that rivals established global career platforms.</w:t>
      </w:r>
      <w:bookmarkEnd w:id="58"/>
    </w:p>
    <w:p>
      <w:pPr>
        <w:pStyle w:val="Heading2"/>
        <w:spacing w:lineRule="auto" w:line="276"/>
        <w:rPr>
          <w:color w:val="000000"/>
        </w:rPr>
      </w:pPr>
      <w:bookmarkStart w:id="59" w:name="__RefHeading___Toc7554_1562581415"/>
      <w:bookmarkStart w:id="60" w:name="the-time-compressed-simulation-strategy"/>
      <w:bookmarkEnd w:id="59"/>
      <w:r>
        <w:rPr>
          <w:rFonts w:ascii="Times New Roman" w:hAnsi="Times New Roman"/>
          <w:color w:val="000000"/>
          <w:sz w:val="24"/>
          <w:szCs w:val="24"/>
        </w:rPr>
        <w:t>4.6 The Time Compressed Simulation Strategy</w:t>
      </w:r>
    </w:p>
    <w:p>
      <w:pPr>
        <w:pStyle w:val="FirstParagraph"/>
        <w:spacing w:lineRule="auto" w:line="276"/>
        <w:rPr>
          <w:color w:val="000000"/>
        </w:rPr>
      </w:pPr>
      <w:r>
        <w:rPr>
          <w:rFonts w:ascii="Times New Roman" w:hAnsi="Times New Roman"/>
          <w:color w:val="000000"/>
          <w:sz w:val="24"/>
          <w:szCs w:val="24"/>
        </w:rPr>
        <w:t>Because the full lifecycle of an industrial attachment spans several months, we had to develop an advanced “Time Compressed Simulation Strategy” to verify that every part of the AISHA architecture was ready for production. We populated the platform with hundreds of “Mock Entities” simulated students, fake companies, and automated supervisors to see how the system would behave over a simulated three month period. We wrote scripts that acted as mock supervisors, “signing off” on student logbook entries every few hours to simulate the daily progress of dozens of students simultaneously. This allowed us to verify our “Signing Precedence” logic and ensure that our automated archiving service could correctly bundle hundreds of entries into a single, clean PDF at the end of the simulated term.</w:t>
      </w:r>
    </w:p>
    <w:p>
      <w:pPr>
        <w:pStyle w:val="BodyText"/>
        <w:spacing w:lineRule="auto" w:line="276"/>
        <w:rPr>
          <w:color w:val="000000"/>
        </w:rPr>
      </w:pPr>
      <w:r>
        <w:rPr>
          <w:rFonts w:ascii="Times New Roman" w:hAnsi="Times New Roman"/>
          <w:color w:val="000000"/>
          <w:sz w:val="24"/>
          <w:szCs w:val="24"/>
        </w:rPr>
        <w:t>We also conducted “Stress Tests” within this simulated world to identify potential bottlenecks. We simulated a scenario where 500 students requested AI matches at the exact same second, allowing us to monitor our Gemini API quota usage and fine-tune our Redis caching strategy. We even performed “Chaos Engineering” tests where we force restarted our backend servers during heavy file uploads to confirm that our migration to Supabase Storage had indeed solved the data loss issues we faced in our early development. This rigorous simulation based approach allowed us to identify and fix technical flaws months before the platform would ever see its first real student from Masinde Muliro University  of Science and Technology.</w:t>
      </w:r>
      <w:bookmarkEnd w:id="60"/>
    </w:p>
    <w:p>
      <w:pPr>
        <w:pStyle w:val="Heading1"/>
        <w:spacing w:lineRule="auto" w:line="276"/>
        <w:rPr>
          <w:color w:val="000000"/>
        </w:rPr>
      </w:pPr>
      <w:bookmarkStart w:id="61" w:name="__RefHeading___Toc7556_1562581415"/>
      <w:bookmarkEnd w:id="61"/>
      <w:r>
        <w:rPr>
          <w:rFonts w:ascii="Times New Roman" w:hAnsi="Times New Roman"/>
          <w:color w:val="000000"/>
          <w:sz w:val="24"/>
          <w:szCs w:val="24"/>
        </w:rPr>
        <w:t xml:space="preserve">CHAPTER 5: </w:t>
      </w:r>
      <w:r>
        <w:rPr>
          <w:rFonts w:ascii="Times New Roman" w:hAnsi="Times New Roman"/>
          <w:color w:val="000000"/>
          <w:sz w:val="24"/>
          <w:szCs w:val="24"/>
        </w:rPr>
        <w:t xml:space="preserve"> </w:t>
      </w:r>
      <w:r>
        <w:rPr>
          <w:rFonts w:ascii="Times New Roman" w:hAnsi="Times New Roman"/>
          <w:color w:val="000000"/>
          <w:sz w:val="24"/>
          <w:szCs w:val="24"/>
        </w:rPr>
        <w:t>DEVELOPMENT AND EXECUTION</w:t>
      </w:r>
    </w:p>
    <w:p>
      <w:pPr>
        <w:pStyle w:val="Heading2"/>
        <w:spacing w:lineRule="auto" w:line="276"/>
        <w:rPr>
          <w:color w:val="000000"/>
        </w:rPr>
      </w:pPr>
      <w:bookmarkStart w:id="62" w:name="__RefHeading___Toc7558_1562581415"/>
      <w:bookmarkStart w:id="63" w:name="X71438c72aacd9c18030da3e2df70ae83459853e"/>
      <w:bookmarkEnd w:id="62"/>
      <w:r>
        <w:rPr>
          <w:rFonts w:ascii="Times New Roman" w:hAnsi="Times New Roman"/>
          <w:color w:val="000000"/>
          <w:sz w:val="24"/>
          <w:szCs w:val="24"/>
        </w:rPr>
        <w:t>5.1 Technical Environment and Platform Implementation</w:t>
      </w:r>
    </w:p>
    <w:p>
      <w:pPr>
        <w:pStyle w:val="FirstParagraph"/>
        <w:spacing w:lineRule="auto" w:line="276"/>
        <w:rPr>
          <w:color w:val="000000"/>
        </w:rPr>
      </w:pPr>
      <w:r>
        <w:rPr>
          <w:rFonts w:ascii="Times New Roman" w:hAnsi="Times New Roman"/>
          <w:color w:val="000000"/>
          <w:sz w:val="24"/>
          <w:szCs w:val="24"/>
        </w:rPr>
        <w:t>The implementation phase of the AISHA project was characterized by a commitment to a TypeScript First development environment. This ensured that our data structures remained consistent and type safe from the moment they were queried from the PostgreSQL database to the moment they were rendered on the user’s dashboard. By using TypeScript across both our Express.js backend and our React frontend, we were able to catch thousands of potential Runtime Errors during the development phase itself, leading to a significantly more stable final product. The deployment was handled through a continuous integration pipeline, where every code push was automatically built and verified before being deployed to our high availability cloud environments on Render and Vercel.</w:t>
      </w:r>
      <w:bookmarkEnd w:id="63"/>
    </w:p>
    <w:p>
      <w:pPr>
        <w:pStyle w:val="Heading2"/>
        <w:spacing w:lineRule="auto" w:line="276"/>
        <w:rPr>
          <w:color w:val="000000"/>
        </w:rPr>
      </w:pPr>
      <w:bookmarkStart w:id="64" w:name="__RefHeading___Toc7560_1562581415"/>
      <w:bookmarkStart w:id="65" w:name="X304f7030f9203ab2be838e6652e946c1e240b3c"/>
      <w:bookmarkEnd w:id="64"/>
      <w:r>
        <w:rPr>
          <w:rFonts w:ascii="Times New Roman" w:hAnsi="Times New Roman"/>
          <w:color w:val="000000"/>
          <w:sz w:val="24"/>
          <w:szCs w:val="24"/>
        </w:rPr>
        <w:t>5.2 Deep Dive into the AI Matching Engine and the 24 Hour Logic</w:t>
      </w:r>
    </w:p>
    <w:p>
      <w:pPr>
        <w:pStyle w:val="FirstParagraph"/>
        <w:spacing w:lineRule="auto" w:line="276"/>
        <w:rPr>
          <w:color w:val="000000"/>
        </w:rPr>
      </w:pPr>
      <w:r>
        <w:rPr>
          <w:rFonts w:ascii="Times New Roman" w:hAnsi="Times New Roman"/>
          <w:color w:val="000000"/>
          <w:sz w:val="24"/>
          <w:szCs w:val="24"/>
        </w:rPr>
        <w:t>The most technically advanced component of AISHA is the intelligent matching engine, which relies on a sophisticated implementation of the Google Gemini API. This implementation is driven by a complex Prompt Engineering pipeline that converts raw student data into structured professional insights. Unlike traditional systems that return a list of options, AISHA is designed to return a single “Best Fit” placement for every student. This is achieved by having the AI perform a high-depth semantic analysis that compares the student’s entire academic profile against a real-time database of industrial requirements. This “Single Choice” model is intended to provide a decisive and friction-free path to industrial placement, reducing the administrative overhead for both the student and the institution.</w:t>
      </w:r>
    </w:p>
    <w:p>
      <w:pPr>
        <w:pStyle w:val="BodyText"/>
        <w:spacing w:lineRule="auto" w:line="276"/>
        <w:rPr>
          <w:color w:val="000000"/>
        </w:rPr>
      </w:pPr>
      <w:r>
        <w:rPr>
          <w:rFonts w:ascii="Times New Roman" w:hAnsi="Times New Roman"/>
          <w:color w:val="000000"/>
          <w:sz w:val="24"/>
          <w:szCs w:val="24"/>
        </w:rPr>
        <w:t>To provide the student with a necessary level of agency, we implemented a 24 Hour Preference Window within the matching lifecycle. Once the AI presents the best fit placement, the student has exactly 24 hours to review the company, the department, and the specific requirements. If the student feels that the match does not align with their career goals, they can use this window to adjust their specialization preferences or update their skills, which triggers a new AI analysis. If no changes are made within the 24 hour period, the system considers the placement accepted and automatically initiates the next phase of the workflow, which includes the autogeneration of institutional letters and company notifications.</w:t>
      </w:r>
      <w:bookmarkEnd w:id="65"/>
    </w:p>
    <w:p>
      <w:pPr>
        <w:pStyle w:val="Heading2"/>
        <w:spacing w:lineRule="auto" w:line="276"/>
        <w:rPr>
          <w:color w:val="000000"/>
        </w:rPr>
      </w:pPr>
      <w:bookmarkStart w:id="66" w:name="__RefHeading___Toc7562_1562581415"/>
      <w:bookmarkStart w:id="67" w:name="Xf92659d638ecbebb2853e354587d68090d1fd8a"/>
      <w:bookmarkEnd w:id="66"/>
      <w:r>
        <w:rPr>
          <w:rFonts w:ascii="Times New Roman" w:hAnsi="Times New Roman"/>
          <w:color w:val="000000"/>
          <w:sz w:val="24"/>
          <w:szCs w:val="24"/>
        </w:rPr>
        <w:t>5.3 The Mathematical Logic of the Matching Algorithm</w:t>
      </w:r>
    </w:p>
    <w:p>
      <w:pPr>
        <w:pStyle w:val="FirstParagraph"/>
        <w:spacing w:lineRule="auto" w:line="276"/>
        <w:rPr>
          <w:color w:val="000000"/>
        </w:rPr>
      </w:pPr>
      <w:r>
        <w:rPr>
          <w:rFonts w:ascii="Times New Roman" w:hAnsi="Times New Roman"/>
          <w:color w:val="000000"/>
          <w:sz w:val="24"/>
          <w:szCs w:val="24"/>
        </w:rPr>
        <w:t>To provide transparency into how AISHA determines the absolute best fit for a student, we developed a Weighted Semantic Relevancy Score (WSRS). This algorithm does not simply look for matching words but evaluates the student across four distinct technical dimensions. Each dimension is assigned a specific “Weighting Factor” (W) based on its importance to the overall professional fit. The first dimension is Skill Alignment (W=0.40), which evaluates the student’s technical competencies. The second is Course Relevancy (W=0.30), which looks at the specific academic units the student has completed. The third is Personal Interest Alignment (W=0.20), and the final dimension is Academic Performance (W=0.10).</w:t>
      </w:r>
    </w:p>
    <w:p>
      <w:pPr>
        <w:pStyle w:val="BodyText"/>
        <w:spacing w:lineRule="auto" w:line="276"/>
        <w:rPr>
          <w:color w:val="000000"/>
        </w:rPr>
      </w:pPr>
      <w:r>
        <w:rPr>
          <w:rFonts w:ascii="Times New Roman" w:hAnsi="Times New Roman"/>
          <w:color w:val="000000"/>
          <w:sz w:val="24"/>
          <w:szCs w:val="24"/>
        </w:rPr>
        <w:t>To illustrate the calculation, consider a hypothetical student, John Doe, applying for a Software Engineering placement at Datum Limited. The algorithm follows five rigorous steps. Step one involves the Semantic Vector Generation, where the student’s skills (e.g., React, Node.js) are converted into a 768-dimension vector. Step two is the Calculation of the Skill Match (S). In John’s case, his skill set aligns 90% with the company’s requirements, giving him a score of 90. Step three is the Course Relevancy Check (C). John has completed “Advanced Web Design” and “Database Systems,” which the AI identifies as a 95% match for the role. Step four is the Interest Sync (I), where John’s stated interest in “Cloud Computing” aligns 80% with the company’s cloud based stack. Finally, Step five is the Academic Weighting (A), where John’s high marks in relevant units provide a score of 85.</w:t>
      </w:r>
    </w:p>
    <w:p>
      <w:pPr>
        <w:pStyle w:val="BodyText"/>
        <w:spacing w:lineRule="auto" w:line="276"/>
        <w:rPr>
          <w:color w:val="000000"/>
        </w:rPr>
      </w:pPr>
      <w:r>
        <w:rPr>
          <w:rFonts w:ascii="Times New Roman" w:hAnsi="Times New Roman"/>
          <w:color w:val="000000"/>
          <w:sz w:val="24"/>
          <w:szCs w:val="24"/>
        </w:rPr>
        <w:t>The final WSRS calculation for John Doe is performed as follows: (90 * 0.40) + (95 * 0.30) + (80 * 0.20) + (85 * 0.10). This results in a final score of 36 + 28.5 + 16 + 8.5, totaling a Composite Match Score of 89.0%. By identifying the student with the highest WSRS for a specific opening, AISHA ensures that only the most qualified candidate is presented for the placement, thereby maintaining a high standard of professional intake for our industrial partners.</w:t>
      </w:r>
      <w:bookmarkEnd w:id="67"/>
    </w:p>
    <w:p>
      <w:pPr>
        <w:pStyle w:val="Heading2"/>
        <w:spacing w:lineRule="auto" w:line="276"/>
        <w:rPr>
          <w:color w:val="000000"/>
        </w:rPr>
      </w:pPr>
      <w:bookmarkStart w:id="68" w:name="__RefHeading___Toc7564_1562581415"/>
      <w:bookmarkStart w:id="69" w:name="X986acf1bfad2c319b984dd6ea7a9b7da3183be2"/>
      <w:bookmarkEnd w:id="68"/>
      <w:r>
        <w:rPr>
          <w:rFonts w:ascii="Times New Roman" w:hAnsi="Times New Roman"/>
          <w:color w:val="000000"/>
          <w:sz w:val="24"/>
          <w:szCs w:val="24"/>
        </w:rPr>
        <w:t>5.4 Document Automation: Cover and Acceptance Letters</w:t>
      </w:r>
    </w:p>
    <w:p>
      <w:pPr>
        <w:pStyle w:val="FirstParagraph"/>
        <w:spacing w:lineRule="auto" w:line="276"/>
        <w:rPr>
          <w:color w:val="000000"/>
        </w:rPr>
      </w:pPr>
      <w:r>
        <w:rPr>
          <w:rFonts w:ascii="Times New Roman" w:hAnsi="Times New Roman"/>
          <w:color w:val="000000"/>
          <w:sz w:val="24"/>
          <w:szCs w:val="24"/>
        </w:rPr>
        <w:t>A critical departure from our initial planning was the removal of NITA form generation, as we determined that a more impactful feature for our stakeholders was the automation of professional correspondence. We implemented a high-speed document generation service that creates customized  Acceptance Letters (Assignment Letters) in PDF format instantly. When a placement is finalized after a successful match, the system pulls the student’s academic data and the company’s requirements to draft a formal acceptance letter that highlights the student’s specific fit for the role. This automation removes the need for students to manually draft and physically transport letters for signatures, significantly accelerating the “School to Work” transition.</w:t>
      </w:r>
      <w:bookmarkEnd w:id="69"/>
    </w:p>
    <w:p>
      <w:pPr>
        <w:pStyle w:val="Heading2"/>
        <w:spacing w:lineRule="auto" w:line="276"/>
        <w:rPr>
          <w:color w:val="000000"/>
        </w:rPr>
      </w:pPr>
      <w:bookmarkStart w:id="70" w:name="__RefHeading___Toc7566_1562581415"/>
      <w:bookmarkStart w:id="71" w:name="Xa8be5de1f367a13c7e81d230e4cffd68dcb1eca"/>
      <w:bookmarkEnd w:id="70"/>
      <w:r>
        <w:rPr>
          <w:rFonts w:ascii="Times New Roman" w:hAnsi="Times New Roman"/>
          <w:color w:val="000000"/>
          <w:sz w:val="24"/>
          <w:szCs w:val="24"/>
        </w:rPr>
        <w:t>5.5 Communication Infrastructure and Gmail API via OAuth2</w:t>
      </w:r>
    </w:p>
    <w:p>
      <w:pPr>
        <w:pStyle w:val="FirstParagraph"/>
        <w:spacing w:lineRule="auto" w:line="276"/>
        <w:rPr>
          <w:color w:val="000000"/>
        </w:rPr>
      </w:pPr>
      <w:r>
        <w:rPr>
          <w:rFonts w:ascii="Times New Roman" w:hAnsi="Times New Roman"/>
          <w:color w:val="000000"/>
          <w:sz w:val="24"/>
          <w:szCs w:val="24"/>
        </w:rPr>
        <w:t>Departing from the unreliable and insecure SMTP methods used by traditional university portals, we implemented a modern communication service using the Gmail API through the Google Cloud Console. This was a complex undertaking that required setting up a dedicated project in the Google Cloud ecosystem, configuring an OAuth 2.0 consent screen, and managing persistent refresh tokens to allow the AISHA server to send emails on behalf of the institution securely. By using the official Gmail API instead of standard mail servers, we ensured that every critical notification, whether it was an acceptance letter for a student or a placement notification for a company, always lands in the user’s primary inbox and is never flagged as spam. This reliability is essential for a platform where a missed email can lead to a significant delay in a student’s attachment start date.</w:t>
      </w:r>
      <w:bookmarkEnd w:id="71"/>
    </w:p>
    <w:p>
      <w:pPr>
        <w:pStyle w:val="Heading2"/>
        <w:spacing w:lineRule="auto" w:line="276"/>
        <w:rPr>
          <w:color w:val="000000"/>
        </w:rPr>
      </w:pPr>
      <w:bookmarkStart w:id="72" w:name="__RefHeading___Toc7568_1562581415"/>
      <w:bookmarkStart w:id="73" w:name="Xc6d9f553b42f02d56b9d58b92b8c86badf416a7"/>
      <w:bookmarkEnd w:id="72"/>
      <w:r>
        <w:rPr>
          <w:rFonts w:ascii="Times New Roman" w:hAnsi="Times New Roman"/>
          <w:color w:val="000000"/>
          <w:sz w:val="24"/>
          <w:szCs w:val="24"/>
        </w:rPr>
        <w:t>5.6 Performance Optimization and Design Refinements</w:t>
      </w:r>
    </w:p>
    <w:p>
      <w:pPr>
        <w:pStyle w:val="FirstParagraph"/>
        <w:spacing w:lineRule="auto" w:line="276"/>
        <w:rPr>
          <w:color w:val="000000"/>
        </w:rPr>
      </w:pPr>
      <w:r>
        <w:rPr>
          <w:rFonts w:ascii="Times New Roman" w:hAnsi="Times New Roman"/>
          <w:color w:val="000000"/>
          <w:sz w:val="24"/>
          <w:szCs w:val="24"/>
        </w:rPr>
        <w:t>The final implementation phase focused heavily on optimizing the performance and accessibility of the platform. We conducted a comprehensive audit of our frontend components to ensure they utilized the full power of the Chakra UI design system, moving away from hardcoded styles to a set of responsive theme tokens. This ensures that the platform is 100% accessible to users with visual impairments and remains readable in both high glare industrial environments and low light home offices. We also implemented strategic database indexing on the most frequently queried tables, such as the logbook entries and matching caches, which reduced our average API response time by over 40%. These refinements transformed AISHA from a collection of powerful features into a polished, professional grade platform that feels fast and responsive to the touch.</w:t>
      </w:r>
      <w:bookmarkEnd w:id="73"/>
    </w:p>
    <w:p>
      <w:pPr>
        <w:pStyle w:val="Heading1"/>
        <w:spacing w:lineRule="auto" w:line="276"/>
        <w:rPr>
          <w:color w:val="000000"/>
        </w:rPr>
      </w:pPr>
      <w:bookmarkStart w:id="74" w:name="__RefHeading___Toc7570_1562581415"/>
      <w:bookmarkEnd w:id="74"/>
      <w:r>
        <w:rPr>
          <w:rFonts w:ascii="Times New Roman" w:hAnsi="Times New Roman"/>
          <w:color w:val="000000"/>
          <w:sz w:val="24"/>
          <w:szCs w:val="24"/>
        </w:rPr>
        <w:t xml:space="preserve">CHAPTER </w:t>
      </w:r>
      <w:r>
        <w:rPr>
          <w:rFonts w:ascii="Times New Roman" w:hAnsi="Times New Roman"/>
          <w:color w:val="000000"/>
          <w:sz w:val="24"/>
          <w:szCs w:val="24"/>
        </w:rPr>
        <w:t>6</w:t>
      </w:r>
      <w:r>
        <w:rPr>
          <w:rFonts w:ascii="Times New Roman" w:hAnsi="Times New Roman"/>
          <w:color w:val="000000"/>
          <w:sz w:val="24"/>
          <w:szCs w:val="24"/>
        </w:rPr>
        <w:t>: RESULTS AND DISCUSSION</w:t>
      </w:r>
    </w:p>
    <w:p>
      <w:pPr>
        <w:pStyle w:val="Heading2"/>
        <w:spacing w:lineRule="auto" w:line="276"/>
        <w:rPr>
          <w:color w:val="000000"/>
        </w:rPr>
      </w:pPr>
      <w:bookmarkStart w:id="75" w:name="__RefHeading___Toc7572_1562581415"/>
      <w:bookmarkStart w:id="76" w:name="X18eb4e26d1d53b73c4e6c6e08a3d052a2f10ab4"/>
      <w:bookmarkEnd w:id="75"/>
      <w:r>
        <w:rPr>
          <w:rFonts w:ascii="Times New Roman" w:hAnsi="Times New Roman"/>
          <w:color w:val="000000"/>
          <w:sz w:val="24"/>
          <w:szCs w:val="24"/>
        </w:rPr>
        <w:t>6.1 The Philosophy of Comprehensive System Validation</w:t>
      </w:r>
    </w:p>
    <w:p>
      <w:pPr>
        <w:pStyle w:val="FirstParagraph"/>
        <w:spacing w:lineRule="auto" w:line="276"/>
        <w:rPr>
          <w:color w:val="000000"/>
        </w:rPr>
      </w:pPr>
      <w:r>
        <w:rPr>
          <w:rFonts w:ascii="Times New Roman" w:hAnsi="Times New Roman"/>
          <w:color w:val="000000"/>
          <w:sz w:val="24"/>
          <w:szCs w:val="24"/>
        </w:rPr>
        <w:t>The testing and evaluation phase of the AISHA project was driven by a fundamental philosophy that rigorous validation is the only way to build user trust in an automated platform. Given that our system handles high stakes professional data, sensitive financial transactions, and academic graduation requirements, we could not afford to treat testing as a mere “final check.” Instead, we integrated testing into every phase of our software lifecycle. We established two distinct testing environments to ensure that our development work never compromised the stability of our verification state. The “Development Sandbox” was used for the initial unit testing of isolated code blocks, while our “Staging Simulation Environment” served as a high fidelity clone of production, where we ran full scale simulations using hundreds of mock student profiles from MMUST to see how the system would behave under real world pressure.</w:t>
      </w:r>
      <w:bookmarkEnd w:id="76"/>
    </w:p>
    <w:p>
      <w:pPr>
        <w:pStyle w:val="Heading2"/>
        <w:spacing w:lineRule="auto" w:line="276"/>
        <w:rPr>
          <w:color w:val="000000"/>
        </w:rPr>
      </w:pPr>
      <w:bookmarkStart w:id="77" w:name="__RefHeading___Toc7574_1562581415"/>
      <w:bookmarkStart w:id="78" w:name="Xa800b69a0c717d2a3b163dba49b7450235ddacb"/>
      <w:bookmarkEnd w:id="77"/>
      <w:r>
        <w:rPr>
          <w:rFonts w:ascii="Times New Roman" w:hAnsi="Times New Roman"/>
          <w:color w:val="000000"/>
          <w:sz w:val="24"/>
          <w:szCs w:val="24"/>
        </w:rPr>
        <w:t>6.2 Multi Layered Testing Methodologies and Execution</w:t>
      </w:r>
    </w:p>
    <w:p>
      <w:pPr>
        <w:pStyle w:val="FirstParagraph"/>
        <w:spacing w:lineRule="auto" w:line="276"/>
        <w:rPr>
          <w:color w:val="000000"/>
        </w:rPr>
      </w:pPr>
      <w:r>
        <w:rPr>
          <w:rFonts w:ascii="Times New Roman" w:hAnsi="Times New Roman"/>
          <w:color w:val="000000"/>
          <w:sz w:val="24"/>
          <w:szCs w:val="24"/>
        </w:rPr>
        <w:t>Our validation strategy was multi layered, beginning with a robust suite of unit tests built using Vitest and Jest. These tests were designed to verify the integrity of our most critical “Pure Functions,” such as the logic responsible for rounding M Pesa transaction amounts and the cryptographic hashes used for digital signatures. By isolating these small pieces of code, we were able to catch thousands of potential edge cases such as null IDs, zero value payments, or extremely long strings long before they could ever cause a system wide failure. We then moved to integration testing, where we verified the complex “conversations” between our disparate system components. For instance, we meticulously tested the “Preference Clock” for student applications, ensuring that a placement was only finalized and letters generated after the 24 hour window had elapsed without modification.</w:t>
      </w:r>
    </w:p>
    <w:p>
      <w:pPr>
        <w:pStyle w:val="BodyText"/>
        <w:spacing w:lineRule="auto" w:line="276"/>
        <w:rPr>
          <w:color w:val="000000"/>
        </w:rPr>
      </w:pPr>
      <w:r>
        <w:rPr>
          <w:rFonts w:ascii="Times New Roman" w:hAnsi="Times New Roman"/>
          <w:color w:val="000000"/>
          <w:sz w:val="24"/>
          <w:szCs w:val="24"/>
        </w:rPr>
        <w:t>To validate the overall user journey, we utilized Cypress for end to end (E2E) testing. This allowed us to script and automate entire professional lifecycles, from a student’s first interaction with the guest chatbot on the landing page to their final placement verification. We simulated the exact steps a student would take to receive their “Best Fit” match, the 24 hour waiting period where they adjusted their preferences, and the final autogeneration of their acceptance letters. We also scripted the supervisor’s perspective, verifying that email notifications were delivered correctly through the Gmail API and that the digital signing logic correctly updated the status of logbook entries. This exhaustive E2E testing provided us with the confidence that the individual parts of AISHA were working together as a cohesive and resilient platform.</w:t>
      </w:r>
      <w:bookmarkEnd w:id="78"/>
    </w:p>
    <w:p>
      <w:pPr>
        <w:pStyle w:val="Heading2"/>
        <w:spacing w:lineRule="auto" w:line="276"/>
        <w:rPr>
          <w:color w:val="000000"/>
        </w:rPr>
      </w:pPr>
      <w:bookmarkStart w:id="79" w:name="__RefHeading___Toc7576_1562581415"/>
      <w:bookmarkStart w:id="80" w:name="X5e3e2037fff45d6e42cb7daff98ce078bce9546"/>
      <w:bookmarkEnd w:id="79"/>
      <w:r>
        <w:rPr>
          <w:rFonts w:ascii="Times New Roman" w:hAnsi="Times New Roman"/>
          <w:color w:val="000000"/>
          <w:sz w:val="24"/>
          <w:szCs w:val="24"/>
        </w:rPr>
        <w:t>6.3 Scientific Evaluation of AI Matching and System Performance</w:t>
      </w:r>
    </w:p>
    <w:p>
      <w:pPr>
        <w:pStyle w:val="FirstParagraph"/>
        <w:spacing w:lineRule="auto" w:line="276"/>
        <w:rPr>
          <w:color w:val="000000"/>
        </w:rPr>
      </w:pPr>
      <w:r>
        <w:rPr>
          <w:rFonts w:ascii="Times New Roman" w:hAnsi="Times New Roman"/>
          <w:color w:val="000000"/>
          <w:sz w:val="24"/>
          <w:szCs w:val="24"/>
        </w:rPr>
        <w:t>One of the most critical aspects of our evaluation was the scientific analysis of the Gemini powered matching engine. To measure its accuracy, we conducted a “Blind Comparative Test” with a  some few Tech gurus. We presented these experts with a set of 50 student company pairs and asked them to rate the relevancy of each placement without knowing the AI’s score. The results were highly encouraging, as the AI and the human coordinators were in agreement on the “Top Fit” 88% of the time. Even more impressive was the AI’s ability to detect nuanced professional alignments that the human experts had initially overlooked such as matching a student with a specialization in “IoT Development” to a modern “Smart Agriculture” firm. This demonstrated that the semantic understanding of the Gemini model was providing a level of depth that surpassed traditional manual placement methods.</w:t>
      </w:r>
    </w:p>
    <w:p>
      <w:pPr>
        <w:pStyle w:val="BodyText"/>
        <w:spacing w:lineRule="auto" w:line="276"/>
        <w:rPr>
          <w:color w:val="000000"/>
        </w:rPr>
      </w:pPr>
      <w:r>
        <w:rPr>
          <w:rFonts w:ascii="Times New Roman" w:hAnsi="Times New Roman"/>
          <w:color w:val="000000"/>
          <w:sz w:val="24"/>
          <w:szCs w:val="24"/>
        </w:rPr>
        <w:t>Beyond accuracy, we evaluated the system’s performance under extreme load using Apache JMeter. We simulated a “Peak Traffic” scenario where 500 students requested AI matches simultaneously, allowing us to monitor the system’s response time and the robustness of our Redis caching layer. Our evaluation showed that even with the removal of local fallback options due to resource constraints on the Render free tier, our cloud primary strategy maintained a 99.9% success rate for all matching requests. We observed that our strategic use of Redis caching for frequent student profiles reduced the overall load on the Gemini API by 35%, ensuring that the system remained responsive even during periods of high student registration activity.</w:t>
      </w:r>
      <w:bookmarkEnd w:id="80"/>
    </w:p>
    <w:p>
      <w:pPr>
        <w:pStyle w:val="Heading2"/>
        <w:spacing w:lineRule="auto" w:line="276"/>
        <w:rPr>
          <w:color w:val="000000"/>
        </w:rPr>
      </w:pPr>
      <w:bookmarkStart w:id="81" w:name="__RefHeading___Toc7578_1562581415"/>
      <w:bookmarkStart w:id="82" w:name="Xa4d8d6b45374bdedb44c0b108e607276f6d429c"/>
      <w:bookmarkEnd w:id="81"/>
      <w:r>
        <w:rPr>
          <w:rFonts w:ascii="Times New Roman" w:hAnsi="Times New Roman"/>
          <w:color w:val="000000"/>
          <w:sz w:val="24"/>
          <w:szCs w:val="24"/>
        </w:rPr>
        <w:t>6.4 User Acceptance Testing and Qualitative Results</w:t>
      </w:r>
    </w:p>
    <w:p>
      <w:pPr>
        <w:pStyle w:val="FirstParagraph"/>
        <w:spacing w:lineRule="auto" w:line="276"/>
        <w:rPr>
          <w:color w:val="000000"/>
        </w:rPr>
      </w:pPr>
      <w:r>
        <w:rPr>
          <w:rFonts w:ascii="Times New Roman" w:hAnsi="Times New Roman"/>
          <w:color w:val="000000"/>
          <w:sz w:val="24"/>
          <w:szCs w:val="24"/>
        </w:rPr>
        <w:t>The User Acceptance Testing (UAT) phase provided us with invaluable qualitative feedback from our primary user groups. We conducted controlled tests with 12 volunteer students from MMUST and 2 industrial partners. The feedback was overwhelmingly positive, particularly regarding the system’s “One Match” philosophy. Students reported that receiving a single, high-confidence placement significantly reduced their “Placement Anxiety” and allowed them to focus on preparing for the role rather than wading through hundreds of irrelevant listings. HR managers at the participating companies also praised the platform, noting that the autogenerated acceptance letters and the ability to “Sign off” on logbooks digitally saved them an average of five hours of administrative work per student.</w:t>
      </w:r>
      <w:bookmarkEnd w:id="82"/>
    </w:p>
    <w:p>
      <w:pPr>
        <w:pStyle w:val="Heading2"/>
        <w:spacing w:lineRule="auto" w:line="276"/>
        <w:rPr>
          <w:color w:val="000000"/>
        </w:rPr>
      </w:pPr>
      <w:bookmarkStart w:id="83" w:name="__RefHeading___Toc7580_1562581415"/>
      <w:bookmarkStart w:id="84" w:name="X360e45d13c119fe097b8003b69dc288ecd11ab4"/>
      <w:bookmarkEnd w:id="83"/>
      <w:r>
        <w:rPr>
          <w:rFonts w:ascii="Times New Roman" w:hAnsi="Times New Roman"/>
          <w:color w:val="000000"/>
          <w:sz w:val="24"/>
          <w:szCs w:val="24"/>
        </w:rPr>
        <w:t>6.5 Narrative of Technical Problem Solving: The M Pesa and Storage Hurdles</w:t>
      </w:r>
    </w:p>
    <w:p>
      <w:pPr>
        <w:pStyle w:val="FirstParagraph"/>
        <w:spacing w:lineRule="auto" w:line="276"/>
        <w:rPr>
          <w:color w:val="000000"/>
        </w:rPr>
      </w:pPr>
      <w:r>
        <w:rPr>
          <w:rFonts w:ascii="Times New Roman" w:hAnsi="Times New Roman"/>
          <w:color w:val="000000"/>
          <w:sz w:val="24"/>
          <w:szCs w:val="24"/>
        </w:rPr>
        <w:t>The testing phase also served as the primary arena for solving the most difficult technical hurdles of the project. One of the most significant “Fix it” stories involved our integration with the Safaricom Daraja API. Early testing resulted in several critical 500 Internal Server Errors that were difficult to diagnose due to the lack of detailed logs from the Safaricom side. Through a process of elimination and packet capture analysis, we discovered that the Safaricom system was rejecting any transaction amount that contained a decimal point. We immediately developed and deployed a “StrictInteger” utility across our payment service, which solved the issue instantly and ensured a 100% success rate for our simulated STK Pushes.</w:t>
      </w:r>
    </w:p>
    <w:p>
      <w:pPr>
        <w:pStyle w:val="BodyText"/>
        <w:spacing w:lineRule="auto" w:line="276"/>
        <w:rPr>
          <w:color w:val="000000"/>
        </w:rPr>
      </w:pPr>
      <w:r>
        <w:rPr>
          <w:rFonts w:ascii="Times New Roman" w:hAnsi="Times New Roman"/>
          <w:color w:val="000000"/>
          <w:sz w:val="24"/>
          <w:szCs w:val="24"/>
        </w:rPr>
        <w:t>We also encountered a major “Persistence Crisis” when we realized that Render’s server restart policy was wiping our local “ephemeral” filesystem daily, causing student profile pictures and documents to disappear. This led to a major architectural pivot where we ripped out all local file handling logic and migrated to Supabase Storage. This move not only solved the data loss issue permanently but also provided us with a globally distributed Content Delivery Network (CDN) that significantly improved the load times for student assets. These “Battle Stories” from the testing phase are a testament to the resilience and technical rigor that went into the AISHA platform, transforming it from a conceptual prototype into a production ready institutional asset.</w:t>
      </w:r>
      <w:bookmarkEnd w:id="84"/>
    </w:p>
    <w:p>
      <w:pPr>
        <w:pStyle w:val="Heading1"/>
        <w:spacing w:lineRule="auto" w:line="276"/>
        <w:rPr>
          <w:color w:val="000000"/>
        </w:rPr>
      </w:pPr>
      <w:bookmarkStart w:id="85" w:name="__RefHeading___Toc7582_1562581415"/>
      <w:bookmarkEnd w:id="85"/>
      <w:r>
        <w:rPr>
          <w:rFonts w:ascii="Times New Roman" w:hAnsi="Times New Roman"/>
          <w:color w:val="000000"/>
          <w:sz w:val="24"/>
          <w:szCs w:val="24"/>
        </w:rPr>
        <w:t>CHAPTER 7</w:t>
      </w:r>
      <w:bookmarkStart w:id="86" w:name="X78ba2d7a4bcca5e9a1eaf1609261eddc9909f5f"/>
      <w:r>
        <w:rPr>
          <w:rFonts w:ascii="Times New Roman" w:hAnsi="Times New Roman"/>
          <w:color w:val="000000"/>
          <w:sz w:val="24"/>
          <w:szCs w:val="24"/>
        </w:rPr>
        <w:t>: TECHNICAL AND ADMINISTRATIVE PROJECT SUMMARY</w:t>
      </w:r>
    </w:p>
    <w:p>
      <w:pPr>
        <w:pStyle w:val="Heading2"/>
        <w:spacing w:lineRule="auto" w:line="276"/>
        <w:rPr>
          <w:color w:val="000000"/>
        </w:rPr>
      </w:pPr>
      <w:bookmarkStart w:id="87" w:name="__RefHeading___Toc7584_1562581415"/>
      <w:bookmarkEnd w:id="87"/>
      <w:r>
        <w:rPr>
          <w:rFonts w:ascii="Times New Roman" w:hAnsi="Times New Roman"/>
          <w:color w:val="000000"/>
          <w:sz w:val="24"/>
          <w:szCs w:val="24"/>
        </w:rPr>
        <w:t>7.</w:t>
      </w:r>
      <w:bookmarkStart w:id="88" w:name="Xb5b869ffb922358590c97c85a674aead35d56fe"/>
      <w:r>
        <w:rPr>
          <w:rFonts w:ascii="Times New Roman" w:hAnsi="Times New Roman"/>
          <w:color w:val="000000"/>
          <w:sz w:val="24"/>
          <w:szCs w:val="24"/>
        </w:rPr>
        <w:t>1. Requirement Traceability and Lifecycle Alignment</w:t>
      </w:r>
    </w:p>
    <w:p>
      <w:pPr>
        <w:pStyle w:val="FirstParagraph"/>
        <w:spacing w:lineRule="auto" w:line="276"/>
        <w:rPr>
          <w:color w:val="000000"/>
        </w:rPr>
      </w:pPr>
      <w:r>
        <w:rPr>
          <w:rFonts w:ascii="Times New Roman" w:hAnsi="Times New Roman"/>
          <w:color w:val="000000"/>
          <w:sz w:val="24"/>
          <w:szCs w:val="24"/>
        </w:rPr>
        <w:t>The development of the AISHA platform followed a rigorous lifecycle that mapped initial client requirements from the Masinde Muliro University of Science and Technology proposal to the final delivered system architecture. A key focus was the transition from manual, corruption prone placement processes to an intelligent “Single Match” system. This system ensures that every student is presented with the absolute “Best Fit” placement based on a semantic analysis of their academic records, while still maintaining a 24 hour “Preference Window” for student agency. This alignment ensures that the platform not only meets the technical specifications of a modern web application but also the administrative needs of a complex educational ecosystem.</w:t>
      </w:r>
      <w:bookmarkEnd w:id="88"/>
    </w:p>
    <w:p>
      <w:pPr>
        <w:pStyle w:val="Heading2"/>
        <w:spacing w:lineRule="auto" w:line="276"/>
        <w:rPr>
          <w:color w:val="000000"/>
        </w:rPr>
      </w:pPr>
      <w:bookmarkStart w:id="89" w:name="__RefHeading___Toc7586_1562581415"/>
      <w:bookmarkEnd w:id="89"/>
      <w:r>
        <w:rPr>
          <w:rFonts w:ascii="Times New Roman" w:hAnsi="Times New Roman"/>
          <w:color w:val="000000"/>
          <w:sz w:val="24"/>
          <w:szCs w:val="24"/>
        </w:rPr>
        <w:t>7.</w:t>
      </w:r>
      <w:bookmarkStart w:id="90" w:name="X51e575cd58f5de4366a0875c3013ba643bc8918"/>
      <w:r>
        <w:rPr>
          <w:rFonts w:ascii="Times New Roman" w:hAnsi="Times New Roman"/>
          <w:color w:val="000000"/>
          <w:sz w:val="24"/>
          <w:szCs w:val="24"/>
        </w:rPr>
        <w:t>2. Infrastructure and Cloud Deployment Roadmap</w:t>
      </w:r>
    </w:p>
    <w:p>
      <w:pPr>
        <w:pStyle w:val="FirstParagraph"/>
        <w:spacing w:lineRule="auto" w:line="276"/>
        <w:rPr>
          <w:color w:val="000000"/>
        </w:rPr>
      </w:pPr>
      <w:r>
        <w:rPr>
          <w:rFonts w:ascii="Times New Roman" w:hAnsi="Times New Roman"/>
          <w:color w:val="000000"/>
          <w:sz w:val="24"/>
          <w:szCs w:val="24"/>
        </w:rPr>
        <w:t>The platform utilizes a cloud native infrastructure designed for high availability and zero data loss. Following the discovery that ephemeral local storage was insufficient for persistent student records, the system was migrated to a Supabase Storage architecture. The backend is hosted on Render, leveraging a managed PostgreSQL instance for structured data and Redis for high speed caching of AI matching results. This roadmap ensures that the system can scale to accommodate thousands of students across multiple departments without a degradation in performance or security.</w:t>
      </w:r>
      <w:bookmarkEnd w:id="90"/>
    </w:p>
    <w:p>
      <w:pPr>
        <w:pStyle w:val="Heading2"/>
        <w:spacing w:lineRule="auto" w:line="276"/>
        <w:rPr>
          <w:color w:val="000000"/>
        </w:rPr>
      </w:pPr>
      <w:bookmarkStart w:id="91" w:name="__RefHeading___Toc7588_1562581415"/>
      <w:bookmarkEnd w:id="91"/>
      <w:r>
        <w:rPr>
          <w:rFonts w:ascii="Times New Roman" w:hAnsi="Times New Roman"/>
          <w:color w:val="000000"/>
          <w:sz w:val="24"/>
          <w:szCs w:val="24"/>
        </w:rPr>
        <w:t>7.</w:t>
      </w:r>
      <w:bookmarkStart w:id="92" w:name="security-permissions-and-access-control"/>
      <w:r>
        <w:rPr>
          <w:rFonts w:ascii="Times New Roman" w:hAnsi="Times New Roman"/>
          <w:color w:val="000000"/>
          <w:sz w:val="24"/>
          <w:szCs w:val="24"/>
        </w:rPr>
        <w:t>3. Security, Permissions, and Access Control</w:t>
      </w:r>
    </w:p>
    <w:p>
      <w:pPr>
        <w:pStyle w:val="FirstParagraph"/>
        <w:spacing w:lineRule="auto" w:line="276"/>
        <w:rPr>
          <w:color w:val="000000"/>
        </w:rPr>
      </w:pPr>
      <w:r>
        <w:rPr>
          <w:rFonts w:ascii="Times New Roman" w:hAnsi="Times New Roman"/>
          <w:color w:val="000000"/>
          <w:sz w:val="24"/>
          <w:szCs w:val="24"/>
        </w:rPr>
        <w:t>Security is integrated at every layer of the AISHA platform, utilizing JWT based authentication and a strict User Permissions Matrix. Role based access control ensures that students can only adjust their own professional preferences and logbook entries, while company supervisors have the exclusive authority to sign off on daily activities and issue autogenerated acceptance letters. This hierarchical security model prevents unauthorized data access and maintains the academic integrity of the industrial attachment process.</w:t>
      </w:r>
      <w:bookmarkEnd w:id="92"/>
    </w:p>
    <w:p>
      <w:pPr>
        <w:pStyle w:val="Heading2"/>
        <w:spacing w:lineRule="auto" w:line="276"/>
        <w:rPr>
          <w:color w:val="000000"/>
        </w:rPr>
      </w:pPr>
      <w:bookmarkStart w:id="93" w:name="__RefHeading___Toc7590_1562581415"/>
      <w:bookmarkEnd w:id="93"/>
      <w:r>
        <w:rPr>
          <w:rFonts w:ascii="Times New Roman" w:hAnsi="Times New Roman"/>
          <w:color w:val="000000"/>
          <w:sz w:val="24"/>
          <w:szCs w:val="24"/>
        </w:rPr>
        <w:t>7.</w:t>
      </w:r>
      <w:bookmarkStart w:id="94" w:name="testing-stability-and-simulation-results"/>
      <w:r>
        <w:rPr>
          <w:rFonts w:ascii="Times New Roman" w:hAnsi="Times New Roman"/>
          <w:color w:val="000000"/>
          <w:sz w:val="24"/>
          <w:szCs w:val="24"/>
        </w:rPr>
        <w:t>4. Testing, Stability, and Simulation Results</w:t>
      </w:r>
    </w:p>
    <w:p>
      <w:pPr>
        <w:pStyle w:val="FirstParagraph"/>
        <w:spacing w:lineRule="auto" w:line="276"/>
        <w:rPr>
          <w:color w:val="000000"/>
        </w:rPr>
      </w:pPr>
      <w:r>
        <w:rPr>
          <w:rFonts w:ascii="Times New Roman" w:hAnsi="Times New Roman"/>
          <w:color w:val="000000"/>
          <w:sz w:val="24"/>
          <w:szCs w:val="24"/>
        </w:rPr>
        <w:t>The stability of the system was validated through a comprehensive testing suite, including unit, integration, and end to end (E2E) simulations. We successfully simulated the 24 hour matching lifecycle for hundreds of mock student profiles, verifying that the system correctly finalizes placements and generates professional correspondence (Cover and Acceptance Letters) upon the expiry of the preference window. Stress tests confirmed that the platform maintains a 99.9% success rate for AI matching requests, even under peak traffic conditions, ensuring a robust and reliable experience for all stakeholders.</w:t>
      </w:r>
      <w:bookmarkEnd w:id="94"/>
    </w:p>
    <w:p>
      <w:pPr>
        <w:pStyle w:val="Heading2"/>
        <w:spacing w:lineRule="auto" w:line="276"/>
        <w:rPr>
          <w:color w:val="000000"/>
        </w:rPr>
      </w:pPr>
      <w:bookmarkStart w:id="95" w:name="__RefHeading___Toc7592_1562581415"/>
      <w:bookmarkEnd w:id="95"/>
      <w:r>
        <w:rPr>
          <w:rFonts w:ascii="Times New Roman" w:hAnsi="Times New Roman"/>
          <w:color w:val="000000"/>
          <w:sz w:val="24"/>
          <w:szCs w:val="24"/>
        </w:rPr>
        <w:t>7.</w:t>
      </w:r>
      <w:bookmarkStart w:id="96" w:name="maintenance-and-future-technical-roadmap"/>
      <w:r>
        <w:rPr>
          <w:rFonts w:ascii="Times New Roman" w:hAnsi="Times New Roman"/>
          <w:color w:val="000000"/>
          <w:sz w:val="24"/>
          <w:szCs w:val="24"/>
        </w:rPr>
        <w:t>5. Maintenance and Future Technical Roadmap</w:t>
      </w:r>
    </w:p>
    <w:p>
      <w:pPr>
        <w:pStyle w:val="FirstParagraph"/>
        <w:spacing w:lineRule="auto" w:line="276"/>
        <w:rPr>
          <w:color w:val="000000"/>
        </w:rPr>
      </w:pPr>
      <w:r>
        <w:rPr>
          <w:rFonts w:ascii="Times New Roman" w:hAnsi="Times New Roman"/>
          <w:color w:val="000000"/>
          <w:sz w:val="24"/>
          <w:szCs w:val="24"/>
        </w:rPr>
        <w:t>The maintenance of AISHA is simplified by its modular architecture and its use of standardized cloud services. Future updates will focus on the full integration of digital signature cryptography and the expansion of the “Preference Window” analytics to help university coordinators identify emerging professional trends among students. The roadmap includes a transition towards “Offline First” mobile capabilities to ensure that students in remote areas can continue to log their progress even without a stable internet connection.</w:t>
      </w:r>
      <w:bookmarkEnd w:id="86"/>
      <w:bookmarkEnd w:id="96"/>
    </w:p>
    <w:p>
      <w:pPr>
        <w:pStyle w:val="Heading1"/>
        <w:pageBreakBefore w:val="false"/>
        <w:spacing w:lineRule="auto" w:line="276"/>
        <w:rPr>
          <w:rFonts w:ascii="Times New Roman" w:hAnsi="Times New Roman"/>
          <w:color w:val="000000"/>
          <w:sz w:val="24"/>
          <w:szCs w:val="24"/>
        </w:rPr>
      </w:pPr>
      <w:bookmarkStart w:id="97" w:name="__RefHeading___Toc8031_1562581415"/>
      <w:bookmarkEnd w:id="97"/>
      <w:r>
        <w:rPr>
          <w:rFonts w:ascii="Times New Roman" w:hAnsi="Times New Roman"/>
          <w:color w:val="000000"/>
          <w:sz w:val="24"/>
          <w:szCs w:val="24"/>
        </w:rPr>
        <w:t>CHAPTER 8</w:t>
      </w:r>
      <w:r>
        <w:rPr>
          <w:rFonts w:ascii="Times New Roman" w:hAnsi="Times New Roman"/>
          <w:color w:val="000000"/>
          <w:sz w:val="24"/>
          <w:szCs w:val="24"/>
        </w:rPr>
        <w:t>: COMPREHENSIVE TABLES AND MATRICES</w:t>
      </w:r>
    </w:p>
    <w:p>
      <w:pPr>
        <w:pStyle w:val="Heading2"/>
        <w:spacing w:lineRule="auto" w:line="276"/>
        <w:rPr>
          <w:color w:val="000000"/>
        </w:rPr>
      </w:pPr>
      <w:bookmarkStart w:id="98" w:name="__RefHeading___Toc7596_1562581415"/>
      <w:bookmarkEnd w:id="98"/>
      <w:r>
        <w:rPr>
          <w:rFonts w:ascii="Times New Roman" w:hAnsi="Times New Roman"/>
          <w:color w:val="000000"/>
          <w:sz w:val="24"/>
          <w:szCs w:val="24"/>
        </w:rPr>
        <w:t>8.</w:t>
      </w:r>
      <w:r>
        <w:rPr>
          <w:rFonts w:ascii="Times New Roman" w:hAnsi="Times New Roman"/>
          <w:color w:val="000000"/>
          <w:sz w:val="24"/>
          <w:szCs w:val="24"/>
        </w:rPr>
        <w:t>1. Project Scope and Completion</w:t>
      </w:r>
    </w:p>
    <w:p>
      <w:pPr>
        <w:pStyle w:val="Caption"/>
        <w:spacing w:lineRule="auto" w:line="276"/>
        <w:rPr>
          <w:color w:val="000000"/>
        </w:rPr>
      </w:pPr>
      <w:r>
        <w:rPr>
          <w:rFonts w:ascii="Times New Roman" w:hAnsi="Times New Roman"/>
          <w:b w:val="false"/>
          <w:color w:val="000000"/>
          <w:sz w:val="24"/>
          <w:szCs w:val="24"/>
        </w:rPr>
        <w:t>Table 1: Feature Traceability Matrix</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07"/>
        <w:gridCol w:w="2108"/>
        <w:gridCol w:w="2108"/>
        <w:gridCol w:w="2108"/>
        <w:gridCol w:w="2108"/>
      </w:tblGrid>
      <w:tr>
        <w:trPr>
          <w:tblHeader w:val="true"/>
        </w:trPr>
        <w:tc>
          <w:tcPr>
            <w:tcW w:w="2107"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Req ID</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Feature Name</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Status</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Module Implementation</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Description</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FR-01</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Multi Role Authentication</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Complete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AuthService</w:t>
            </w:r>
            <w:r>
              <w:rPr>
                <w:rFonts w:eastAsia="" w:cs="" w:ascii="Times New Roman" w:hAnsi="Times New Roman"/>
                <w:color w:val="000000"/>
                <w:kern w:val="0"/>
                <w:sz w:val="24"/>
                <w:szCs w:val="24"/>
                <w:lang w:val="en-US" w:eastAsia="zh-CN" w:bidi="ar-SA"/>
              </w:rPr>
              <w:t xml:space="preserve">, </w:t>
            </w:r>
            <w:r>
              <w:rPr>
                <w:rStyle w:val="VerbatimChar"/>
                <w:rFonts w:eastAsia="" w:cs="" w:ascii="Times New Roman" w:hAnsi="Times New Roman"/>
                <w:color w:val="000000"/>
                <w:kern w:val="0"/>
                <w:sz w:val="24"/>
                <w:szCs w:val="24"/>
                <w:lang w:val="en-US" w:eastAsia="zh-CN" w:bidi="ar-SA"/>
              </w:rPr>
              <w:t>AuthRoutes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Secure JWT login for Students, Institutions, and Companies.</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FR-02</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Profile Synchronization</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Complete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InstitutionSyncService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Automated importing of academic data from MMUST databases.</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FR-03</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AI Best Fit Matching</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Complete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AIService</w:t>
            </w:r>
            <w:r>
              <w:rPr>
                <w:rFonts w:eastAsia="" w:cs="" w:ascii="Times New Roman" w:hAnsi="Times New Roman"/>
                <w:color w:val="000000"/>
                <w:kern w:val="0"/>
                <w:sz w:val="24"/>
                <w:szCs w:val="24"/>
                <w:lang w:val="en-US" w:eastAsia="zh-CN" w:bidi="ar-SA"/>
              </w:rPr>
              <w:t xml:space="preserve">, </w:t>
            </w:r>
            <w:r>
              <w:rPr>
                <w:rStyle w:val="VerbatimChar"/>
                <w:rFonts w:eastAsia="" w:cs="" w:ascii="Times New Roman" w:hAnsi="Times New Roman"/>
                <w:color w:val="000000"/>
                <w:kern w:val="0"/>
                <w:sz w:val="24"/>
                <w:szCs w:val="24"/>
                <w:lang w:val="en-US" w:eastAsia="zh-CN" w:bidi="ar-SA"/>
              </w:rPr>
              <w:t>LLMService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Gemini powered single match engine with 24h window logic.</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FR-04</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Letter Automation</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Complete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AutomationService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Auto generation of PDF  Acceptance Letters.</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FR-05</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 Pesa STK Push</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Complete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PaymentService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Integration with Safaricom Daraja API for fee handling.</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FR-06</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Digital Student Logbook</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Complete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LogbookEntries</w:t>
            </w:r>
            <w:r>
              <w:rPr>
                <w:rFonts w:eastAsia="" w:cs="" w:ascii="Times New Roman" w:hAnsi="Times New Roman"/>
                <w:color w:val="000000"/>
                <w:kern w:val="0"/>
                <w:sz w:val="24"/>
                <w:szCs w:val="24"/>
                <w:lang w:val="en-US" w:eastAsia="zh-CN" w:bidi="ar-SA"/>
              </w:rPr>
              <w:t xml:space="preserve">, </w:t>
            </w:r>
            <w:r>
              <w:rPr>
                <w:rStyle w:val="VerbatimChar"/>
                <w:rFonts w:eastAsia="" w:cs="" w:ascii="Times New Roman" w:hAnsi="Times New Roman"/>
                <w:color w:val="000000"/>
                <w:kern w:val="0"/>
                <w:sz w:val="24"/>
                <w:szCs w:val="24"/>
                <w:lang w:val="en-US" w:eastAsia="zh-CN" w:bidi="ar-SA"/>
              </w:rPr>
              <w:t>LogbookService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Daily activity logging with supervisor signing precedence.</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FR-07</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Real time Notifications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Complete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EmailService</w:t>
            </w:r>
            <w:r>
              <w:rPr>
                <w:rFonts w:eastAsia="" w:cs="" w:ascii="Times New Roman" w:hAnsi="Times New Roman"/>
                <w:color w:val="000000"/>
                <w:kern w:val="0"/>
                <w:sz w:val="24"/>
                <w:szCs w:val="24"/>
                <w:lang w:val="en-US" w:eastAsia="zh-CN" w:bidi="ar-SA"/>
              </w:rPr>
              <w:t xml:space="preserve">, </w:t>
            </w:r>
            <w:r>
              <w:rPr>
                <w:rStyle w:val="VerbatimChar"/>
                <w:rFonts w:eastAsia="" w:cs="" w:ascii="Times New Roman" w:hAnsi="Times New Roman"/>
                <w:color w:val="000000"/>
                <w:kern w:val="0"/>
                <w:sz w:val="24"/>
                <w:szCs w:val="24"/>
                <w:lang w:val="en-US" w:eastAsia="zh-CN" w:bidi="ar-SA"/>
              </w:rPr>
              <w:t>SocketService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Gmail API integration and in app WebSocket alerts.</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FR-08</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Persistent File Storage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Complete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StorageService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Supabase Bucket integration for permanent document storage.</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FR-09</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Digital Signature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Partial</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SignatureService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HMAC based signing logic implemented; full UI integration ongoing.</w:t>
            </w:r>
            <w:bookmarkStart w:id="99" w:name="project-scope-and-completion"/>
            <w:bookmarkStart w:id="100" w:name="table-feature-traceability-matrix"/>
            <w:bookmarkEnd w:id="99"/>
            <w:bookmarkEnd w:id="100"/>
          </w:p>
        </w:tc>
      </w:tr>
    </w:tbl>
    <w:p>
      <w:pPr>
        <w:pStyle w:val="Normal"/>
        <w:spacing w:lineRule="auto" w:line="276"/>
        <w:jc w:val="center"/>
        <w:rPr>
          <w:color w:val="000000"/>
        </w:rPr>
      </w:pPr>
      <w:r>
        <w:rPr>
          <w:rFonts w:ascii="Times New Roman" w:hAnsi="Times New Roman"/>
          <w:b/>
          <w:color w:val="000000"/>
          <w:sz w:val="24"/>
          <w:szCs w:val="24"/>
        </w:rPr>
        <w:t>Table 1: Feature Traceability Matrix</w:t>
      </w:r>
    </w:p>
    <w:p>
      <w:pPr>
        <w:pStyle w:val="Heading2"/>
        <w:spacing w:lineRule="auto" w:line="276"/>
        <w:rPr>
          <w:color w:val="000000"/>
        </w:rPr>
      </w:pPr>
      <w:bookmarkStart w:id="101" w:name="__RefHeading___Toc7598_1562581415"/>
      <w:bookmarkEnd w:id="101"/>
      <w:r>
        <w:rPr>
          <w:rFonts w:ascii="Times New Roman" w:hAnsi="Times New Roman"/>
          <w:color w:val="000000"/>
          <w:sz w:val="24"/>
          <w:szCs w:val="24"/>
        </w:rPr>
        <w:t>8.</w:t>
      </w:r>
      <w:r>
        <w:rPr>
          <w:rFonts w:ascii="Times New Roman" w:hAnsi="Times New Roman"/>
          <w:color w:val="000000"/>
          <w:sz w:val="24"/>
          <w:szCs w:val="24"/>
        </w:rPr>
        <w:t>2. System Configuration</w:t>
      </w:r>
    </w:p>
    <w:p>
      <w:pPr>
        <w:pStyle w:val="Caption"/>
        <w:spacing w:lineRule="auto" w:line="276"/>
        <w:rPr>
          <w:color w:val="000000"/>
        </w:rPr>
      </w:pPr>
      <w:r>
        <w:rPr>
          <w:rFonts w:ascii="Times New Roman" w:hAnsi="Times New Roman"/>
          <w:b w:val="false"/>
          <w:color w:val="000000"/>
          <w:sz w:val="24"/>
          <w:szCs w:val="24"/>
        </w:rPr>
        <w:t>Table 2: Environment &amp; Tech Stack Directory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07"/>
        <w:gridCol w:w="2108"/>
        <w:gridCol w:w="2108"/>
        <w:gridCol w:w="2108"/>
        <w:gridCol w:w="2108"/>
      </w:tblGrid>
      <w:tr>
        <w:trPr>
          <w:tblHeader w:val="true"/>
        </w:trPr>
        <w:tc>
          <w:tcPr>
            <w:tcW w:w="2107"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Component</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Technology</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Version</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Hosting Provider</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Environment Link</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Frontend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React (Vite)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19.2.0</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Vercel / Netlify</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https://aisha-portal.vercel.app</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Backend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Node.js (Express)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5.2.1</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Render</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https://aisha-api.onrender.com</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AI Service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Python (FastAPI)</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3.12</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Render / Cloud</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https://aisha-ai.onrender.com</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Database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PostgreSQL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15.1</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Supabase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Managed Cloud Instance</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Cache/Queue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Redis / Bull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5.10</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Upstash / Local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Managed Cloud Instance</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Storage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Supabase Buckets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2.1</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Supabase</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aisha-documents</w:t>
            </w:r>
            <w:r>
              <w:rPr>
                <w:rFonts w:eastAsia="" w:cs="" w:ascii="Times New Roman" w:hAnsi="Times New Roman"/>
                <w:color w:val="000000"/>
                <w:kern w:val="0"/>
                <w:sz w:val="24"/>
                <w:szCs w:val="24"/>
                <w:lang w:val="en-US" w:eastAsia="zh-CN" w:bidi="ar-SA"/>
              </w:rPr>
              <w:t xml:space="preserve"> Bucket</w:t>
            </w:r>
            <w:bookmarkStart w:id="102" w:name="table-environment-tech-stack-directory"/>
            <w:bookmarkEnd w:id="102"/>
          </w:p>
        </w:tc>
      </w:tr>
    </w:tbl>
    <w:p>
      <w:pPr>
        <w:pStyle w:val="Normal"/>
        <w:spacing w:lineRule="auto" w:line="276"/>
        <w:jc w:val="center"/>
        <w:rPr>
          <w:color w:val="000000"/>
        </w:rPr>
      </w:pPr>
      <w:r>
        <w:rPr>
          <w:rFonts w:ascii="Times New Roman" w:hAnsi="Times New Roman"/>
          <w:b/>
          <w:color w:val="000000"/>
          <w:sz w:val="24"/>
          <w:szCs w:val="24"/>
        </w:rPr>
        <w:t>Table 2: Environment &amp; Tech Stack Directory</w:t>
      </w:r>
    </w:p>
    <w:p>
      <w:pPr>
        <w:pStyle w:val="Heading2"/>
        <w:spacing w:lineRule="auto" w:line="276"/>
        <w:rPr>
          <w:color w:val="000000"/>
        </w:rPr>
      </w:pPr>
      <w:bookmarkStart w:id="103" w:name="__RefHeading___Toc7600_1562581415"/>
      <w:bookmarkEnd w:id="103"/>
      <w:r>
        <w:rPr>
          <w:rFonts w:ascii="Times New Roman" w:hAnsi="Times New Roman"/>
          <w:color w:val="000000"/>
          <w:sz w:val="24"/>
          <w:szCs w:val="24"/>
        </w:rPr>
        <w:t>8.</w:t>
      </w:r>
      <w:r>
        <w:rPr>
          <w:rFonts w:ascii="Times New Roman" w:hAnsi="Times New Roman"/>
          <w:color w:val="000000"/>
          <w:sz w:val="24"/>
          <w:szCs w:val="24"/>
        </w:rPr>
        <w:t>3. Database Architecture</w:t>
      </w:r>
    </w:p>
    <w:p>
      <w:pPr>
        <w:pStyle w:val="Caption"/>
        <w:spacing w:lineRule="auto" w:line="276"/>
        <w:rPr>
          <w:color w:val="000000"/>
        </w:rPr>
      </w:pPr>
      <w:r>
        <w:rPr>
          <w:rFonts w:ascii="Times New Roman" w:hAnsi="Times New Roman"/>
          <w:b w:val="false"/>
          <w:color w:val="000000"/>
          <w:sz w:val="24"/>
          <w:szCs w:val="24"/>
        </w:rPr>
        <w:t>Table 3: Data Dictionary (Core Tables)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07"/>
        <w:gridCol w:w="2108"/>
        <w:gridCol w:w="2108"/>
        <w:gridCol w:w="2108"/>
        <w:gridCol w:w="2108"/>
      </w:tblGrid>
      <w:tr>
        <w:trPr>
          <w:tblHeader w:val="true"/>
        </w:trPr>
        <w:tc>
          <w:tcPr>
            <w:tcW w:w="2107"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Table Name</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Field Name</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Data Type</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Constraints</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Description</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users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UUID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Primary Key, Not Null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Unique identifier for every system user.</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email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String</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Unique, Not Null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User’s professional/academic email.</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role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Enum</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Not Null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Roles: STUDENT, INSTITUTION, COMPANY, ADMIN.</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students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UUID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Primary Key, Not Null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Unique identifier for a student profile.</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skills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Array (Str)</w:t>
            </w:r>
          </w:p>
        </w:tc>
        <w:tc>
          <w:tcPr>
            <w:tcW w:w="2108"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List of technical skills (e.g., Python, React).</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academic_analysis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JSONB</w:t>
            </w:r>
          </w:p>
        </w:tc>
        <w:tc>
          <w:tcPr>
            <w:tcW w:w="2108"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AI generated summary of student performance.</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opportunities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UUID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Primary Key, Not Null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Unique identifier for an attachment opening.</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company_id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UUID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Foreign Key</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Link to the hiring company.</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requirements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Text</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Not Null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Detailed job description and skills needed.</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applications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UUID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Primary Key, Not Null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Tracks the link between student and company.</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match_score</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Numeric</w:t>
            </w:r>
          </w:p>
        </w:tc>
        <w:tc>
          <w:tcPr>
            <w:tcW w:w="2108"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AI calculated relevancy (0-100).</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window_expires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Timestamp</w:t>
            </w:r>
          </w:p>
        </w:tc>
        <w:tc>
          <w:tcPr>
            <w:tcW w:w="2108"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Expiration of the 24 hour preference window.</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status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String</w:t>
            </w:r>
          </w:p>
        </w:tc>
        <w:tc>
          <w:tcPr>
            <w:tcW w:w="2108"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PENDING, MATCHED, ACCEPTED, REJECTED.</w:t>
            </w:r>
          </w:p>
        </w:tc>
      </w:tr>
      <w:tr>
        <w:trPr/>
        <w:tc>
          <w:tcPr>
            <w:tcW w:w="21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logbook_entries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UUID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Primary Key, Not Null</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Unique daily work record.</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placement_id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UUID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Foreign Key</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Link to the active attachment.</w:t>
            </w:r>
          </w:p>
        </w:tc>
      </w:tr>
      <w:tr>
        <w:trPr/>
        <w:tc>
          <w:tcPr>
            <w:tcW w:w="2107"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status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String</w:t>
            </w:r>
          </w:p>
        </w:tc>
        <w:tc>
          <w:tcPr>
            <w:tcW w:w="2108" w:type="dxa"/>
            <w:tcBorders/>
          </w:tcPr>
          <w:p>
            <w:pPr>
              <w:pStyle w:val="Compact"/>
              <w:widowControl/>
              <w:suppressAutoHyphens w:val="true"/>
              <w:spacing w:lineRule="auto" w:line="276" w:before="36" w:after="36"/>
              <w:jc w:val="left"/>
              <w:rPr>
                <w:rFonts w:ascii="Times New Roman" w:hAnsi="Times New Roman" w:eastAsia="" w:cs=""/>
                <w:color w:val="000000"/>
                <w:kern w:val="0"/>
                <w:sz w:val="24"/>
                <w:szCs w:val="24"/>
                <w:lang w:val="en-US" w:eastAsia="zh-CN" w:bidi="ar-SA"/>
              </w:rPr>
            </w:pPr>
            <w:r>
              <w:rPr>
                <w:rFonts w:eastAsia="" w:cs="" w:ascii="Times New Roman" w:hAnsi="Times New Roman"/>
                <w:color w:val="000000"/>
                <w:kern w:val="0"/>
                <w:sz w:val="24"/>
                <w:szCs w:val="24"/>
                <w:lang w:val="en-US" w:eastAsia="zh-CN" w:bidi="ar-SA"/>
              </w:rPr>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PENDING, VERIFIED, COMPLETED.</w:t>
            </w:r>
            <w:bookmarkStart w:id="104" w:name="table-data-dictionary-core-tables"/>
            <w:bookmarkEnd w:id="104"/>
          </w:p>
        </w:tc>
      </w:tr>
    </w:tbl>
    <w:p>
      <w:pPr>
        <w:pStyle w:val="Normal"/>
        <w:spacing w:lineRule="auto" w:line="276"/>
        <w:jc w:val="center"/>
        <w:rPr>
          <w:color w:val="000000"/>
        </w:rPr>
      </w:pPr>
      <w:r>
        <w:rPr>
          <w:rFonts w:ascii="Times New Roman" w:hAnsi="Times New Roman"/>
          <w:b/>
          <w:color w:val="000000"/>
          <w:sz w:val="24"/>
          <w:szCs w:val="24"/>
        </w:rPr>
        <w:t>Table 3: Data Dictionary (Core Tables)</w:t>
      </w:r>
    </w:p>
    <w:p>
      <w:pPr>
        <w:pStyle w:val="Heading2"/>
        <w:spacing w:lineRule="auto" w:line="276"/>
        <w:rPr>
          <w:color w:val="000000"/>
        </w:rPr>
      </w:pPr>
      <w:bookmarkStart w:id="105" w:name="__RefHeading___Toc7602_1562581415"/>
      <w:bookmarkEnd w:id="105"/>
      <w:r>
        <w:rPr>
          <w:rFonts w:ascii="Times New Roman" w:hAnsi="Times New Roman"/>
          <w:color w:val="000000"/>
          <w:sz w:val="24"/>
          <w:szCs w:val="24"/>
        </w:rPr>
        <w:t>8.</w:t>
      </w:r>
      <w:r>
        <w:rPr>
          <w:rFonts w:ascii="Times New Roman" w:hAnsi="Times New Roman"/>
          <w:color w:val="000000"/>
          <w:sz w:val="24"/>
          <w:szCs w:val="24"/>
        </w:rPr>
        <w:t>4. Security and Access Control</w:t>
      </w:r>
    </w:p>
    <w:p>
      <w:pPr>
        <w:pStyle w:val="Caption"/>
        <w:spacing w:lineRule="auto" w:line="276"/>
        <w:rPr>
          <w:color w:val="000000"/>
        </w:rPr>
      </w:pPr>
      <w:r>
        <w:rPr>
          <w:rFonts w:ascii="Times New Roman" w:hAnsi="Times New Roman"/>
          <w:b w:val="false"/>
          <w:color w:val="000000"/>
          <w:sz w:val="24"/>
          <w:szCs w:val="24"/>
        </w:rPr>
        <w:t>Table 4: User Role &amp; Permissions Matrix</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634"/>
        <w:gridCol w:w="2635"/>
        <w:gridCol w:w="2634"/>
        <w:gridCol w:w="2636"/>
      </w:tblGrid>
      <w:tr>
        <w:trPr>
          <w:tblHeader w:val="true"/>
        </w:trPr>
        <w:tc>
          <w:tcPr>
            <w:tcW w:w="2634"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Role</w:t>
            </w:r>
          </w:p>
        </w:tc>
        <w:tc>
          <w:tcPr>
            <w:tcW w:w="2635"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Access Level</w:t>
            </w:r>
          </w:p>
        </w:tc>
        <w:tc>
          <w:tcPr>
            <w:tcW w:w="2634"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System Modules Accessible</w:t>
            </w:r>
          </w:p>
        </w:tc>
        <w:tc>
          <w:tcPr>
            <w:tcW w:w="2636"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Key Permissions</w:t>
            </w:r>
          </w:p>
        </w:tc>
      </w:tr>
      <w:tr>
        <w:trPr/>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Student</w:t>
            </w:r>
          </w:p>
        </w:tc>
        <w:tc>
          <w:tcPr>
            <w:tcW w:w="2635"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Read/Write/Update</w:t>
            </w:r>
          </w:p>
        </w:tc>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Profile, Matching, Logbook, Payments</w:t>
            </w:r>
          </w:p>
        </w:tc>
        <w:tc>
          <w:tcPr>
            <w:tcW w:w="263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Adjust preferences, Fill logbook, Pay fees.</w:t>
            </w:r>
          </w:p>
        </w:tc>
      </w:tr>
      <w:tr>
        <w:trPr/>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Company</w:t>
            </w:r>
          </w:p>
        </w:tc>
        <w:tc>
          <w:tcPr>
            <w:tcW w:w="2635"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Read/Write/Update</w:t>
            </w:r>
          </w:p>
        </w:tc>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Opportunity Mgr, App Review, Logbook Audit</w:t>
            </w:r>
          </w:p>
        </w:tc>
        <w:tc>
          <w:tcPr>
            <w:tcW w:w="263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List jobs, Sign logbooks, Issue Acceptance Letter.</w:t>
            </w:r>
          </w:p>
        </w:tc>
      </w:tr>
      <w:tr>
        <w:trPr/>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Institution</w:t>
            </w:r>
          </w:p>
        </w:tc>
        <w:tc>
          <w:tcPr>
            <w:tcW w:w="2635"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Read/Audit</w:t>
            </w:r>
          </w:p>
        </w:tc>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Student Monitor, Department Admin, Reports</w:t>
            </w:r>
          </w:p>
        </w:tc>
        <w:tc>
          <w:tcPr>
            <w:tcW w:w="263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Sync students, Audit logbooks, Issue Status reports.</w:t>
            </w:r>
          </w:p>
        </w:tc>
      </w:tr>
      <w:tr>
        <w:trPr/>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Admin</w:t>
            </w:r>
          </w:p>
        </w:tc>
        <w:tc>
          <w:tcPr>
            <w:tcW w:w="2635"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Full (CRUD)</w:t>
            </w:r>
          </w:p>
        </w:tc>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User Management, API Config, System Logs</w:t>
            </w:r>
          </w:p>
        </w:tc>
        <w:tc>
          <w:tcPr>
            <w:tcW w:w="263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Manage users, Monitor AI quotas, System health.</w:t>
            </w:r>
          </w:p>
        </w:tc>
      </w:tr>
      <w:tr>
        <w:trPr/>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Guest</w:t>
            </w:r>
          </w:p>
        </w:tc>
        <w:tc>
          <w:tcPr>
            <w:tcW w:w="2635"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Read Only</w:t>
            </w:r>
          </w:p>
        </w:tc>
        <w:tc>
          <w:tcPr>
            <w:tcW w:w="2634"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Landing Page, AI Assistant</w:t>
            </w:r>
          </w:p>
        </w:tc>
        <w:tc>
          <w:tcPr>
            <w:tcW w:w="263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 xml:space="preserve">Use AISHA </w:t>
            </w:r>
            <w:bookmarkStart w:id="106" w:name="table-user-role-permissions-matrix"/>
            <w:bookmarkEnd w:id="106"/>
            <w:r>
              <w:rPr>
                <w:rFonts w:eastAsia="" w:cs="" w:ascii="Times New Roman" w:hAnsi="Times New Roman"/>
                <w:color w:val="000000"/>
                <w:kern w:val="0"/>
                <w:sz w:val="24"/>
                <w:szCs w:val="24"/>
                <w:lang w:val="en-US" w:eastAsia="zh-CN" w:bidi="ar-SA"/>
              </w:rPr>
              <w:t>Assistant</w:t>
            </w:r>
          </w:p>
        </w:tc>
      </w:tr>
    </w:tbl>
    <w:p>
      <w:pPr>
        <w:pStyle w:val="Normal"/>
        <w:spacing w:lineRule="auto" w:line="276"/>
        <w:jc w:val="center"/>
        <w:rPr>
          <w:color w:val="000000"/>
        </w:rPr>
      </w:pPr>
      <w:r>
        <w:rPr>
          <w:rFonts w:ascii="Times New Roman" w:hAnsi="Times New Roman"/>
          <w:b/>
          <w:color w:val="000000"/>
          <w:sz w:val="24"/>
          <w:szCs w:val="24"/>
        </w:rPr>
        <w:t>Table 4: User Role &amp; Permissions Matrix</w:t>
      </w:r>
    </w:p>
    <w:p>
      <w:pPr>
        <w:pStyle w:val="Heading2"/>
        <w:spacing w:lineRule="auto" w:line="276"/>
        <w:rPr>
          <w:color w:val="000000"/>
        </w:rPr>
      </w:pPr>
      <w:bookmarkStart w:id="107" w:name="__RefHeading___Toc7604_1562581415"/>
      <w:bookmarkEnd w:id="107"/>
      <w:r>
        <w:rPr>
          <w:rFonts w:ascii="Times New Roman" w:hAnsi="Times New Roman"/>
          <w:color w:val="000000"/>
          <w:sz w:val="24"/>
          <w:szCs w:val="24"/>
        </w:rPr>
        <w:t>8.</w:t>
      </w:r>
      <w:r>
        <w:rPr>
          <w:rFonts w:ascii="Times New Roman" w:hAnsi="Times New Roman"/>
          <w:color w:val="000000"/>
          <w:sz w:val="24"/>
          <w:szCs w:val="24"/>
        </w:rPr>
        <w:t>5. Quality Assurance</w:t>
      </w:r>
    </w:p>
    <w:p>
      <w:pPr>
        <w:pStyle w:val="Caption"/>
        <w:spacing w:lineRule="auto" w:line="276"/>
        <w:rPr>
          <w:color w:val="000000"/>
        </w:rPr>
      </w:pPr>
      <w:r>
        <w:rPr>
          <w:rFonts w:ascii="Times New Roman" w:hAnsi="Times New Roman"/>
          <w:b w:val="false"/>
          <w:color w:val="000000"/>
          <w:sz w:val="24"/>
          <w:szCs w:val="24"/>
        </w:rPr>
        <w:t>Table 5: Test Execution Log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756"/>
        <w:gridCol w:w="1753"/>
        <w:gridCol w:w="1760"/>
        <w:gridCol w:w="1757"/>
        <w:gridCol w:w="1756"/>
        <w:gridCol w:w="1757"/>
      </w:tblGrid>
      <w:tr>
        <w:trPr>
          <w:tblHeader w:val="true"/>
        </w:trPr>
        <w:tc>
          <w:tcPr>
            <w:tcW w:w="1756"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Test ID</w:t>
            </w:r>
          </w:p>
        </w:tc>
        <w:tc>
          <w:tcPr>
            <w:tcW w:w="1753"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Feature Tested</w:t>
            </w:r>
          </w:p>
        </w:tc>
        <w:tc>
          <w:tcPr>
            <w:tcW w:w="1760"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Input Data</w:t>
            </w:r>
          </w:p>
        </w:tc>
        <w:tc>
          <w:tcPr>
            <w:tcW w:w="1757"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Expected Outcome</w:t>
            </w:r>
          </w:p>
        </w:tc>
        <w:tc>
          <w:tcPr>
            <w:tcW w:w="1756"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Actual Outcome</w:t>
            </w:r>
          </w:p>
        </w:tc>
        <w:tc>
          <w:tcPr>
            <w:tcW w:w="1757"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Status</w:t>
            </w:r>
          </w:p>
        </w:tc>
      </w:tr>
      <w:tr>
        <w:trPr/>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TC-01</w:t>
            </w:r>
          </w:p>
        </w:tc>
        <w:tc>
          <w:tcPr>
            <w:tcW w:w="1753"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Student Matching</w:t>
            </w:r>
          </w:p>
        </w:tc>
        <w:tc>
          <w:tcPr>
            <w:tcW w:w="176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MMUST Student Profile</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Single best fit placement returned</w:t>
            </w:r>
          </w:p>
        </w:tc>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Best match shown with 24h clock</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Pass</w:t>
            </w:r>
          </w:p>
        </w:tc>
      </w:tr>
      <w:tr>
        <w:trPr/>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TC-02</w:t>
            </w:r>
          </w:p>
        </w:tc>
        <w:tc>
          <w:tcPr>
            <w:tcW w:w="1753"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 Pesa STK Push</w:t>
            </w:r>
          </w:p>
        </w:tc>
        <w:tc>
          <w:tcPr>
            <w:tcW w:w="176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0794987200, 100 KES</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Phone PIN Prompt</w:t>
            </w:r>
          </w:p>
        </w:tc>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STK Prompt triggered</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Pass</w:t>
            </w:r>
          </w:p>
        </w:tc>
      </w:tr>
      <w:tr>
        <w:trPr/>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TC-03</w:t>
            </w:r>
          </w:p>
        </w:tc>
        <w:tc>
          <w:tcPr>
            <w:tcW w:w="1753"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Acceptance Letter</w:t>
            </w:r>
          </w:p>
        </w:tc>
        <w:tc>
          <w:tcPr>
            <w:tcW w:w="176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Finalized Placement</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PDF with company details</w:t>
            </w:r>
          </w:p>
        </w:tc>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Letter generated with signature</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Pass</w:t>
            </w:r>
          </w:p>
        </w:tc>
      </w:tr>
      <w:tr>
        <w:trPr/>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TC-04</w:t>
            </w:r>
          </w:p>
        </w:tc>
        <w:tc>
          <w:tcPr>
            <w:tcW w:w="1753"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Gmail Notification</w:t>
            </w:r>
          </w:p>
        </w:tc>
        <w:tc>
          <w:tcPr>
            <w:tcW w:w="176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New Matching Event</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Email in student inbox</w:t>
            </w:r>
          </w:p>
        </w:tc>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OAuth2 mail delivered</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Pass</w:t>
            </w:r>
          </w:p>
        </w:tc>
      </w:tr>
      <w:tr>
        <w:trPr/>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TC-05</w:t>
            </w:r>
          </w:p>
        </w:tc>
        <w:tc>
          <w:tcPr>
            <w:tcW w:w="1753"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Preference Window</w:t>
            </w:r>
          </w:p>
        </w:tc>
        <w:tc>
          <w:tcPr>
            <w:tcW w:w="176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Time Expiry Event</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Automatic placement finalization</w:t>
            </w:r>
          </w:p>
        </w:tc>
        <w:tc>
          <w:tcPr>
            <w:tcW w:w="1756"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Status changed after 24h</w:t>
            </w:r>
          </w:p>
        </w:tc>
        <w:tc>
          <w:tcPr>
            <w:tcW w:w="175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Pass</w:t>
            </w:r>
            <w:bookmarkStart w:id="108" w:name="table-test-execution-log"/>
            <w:bookmarkEnd w:id="108"/>
          </w:p>
        </w:tc>
      </w:tr>
    </w:tbl>
    <w:p>
      <w:pPr>
        <w:pStyle w:val="Normal"/>
        <w:spacing w:lineRule="auto" w:line="276"/>
        <w:jc w:val="center"/>
        <w:rPr>
          <w:color w:val="000000"/>
        </w:rPr>
      </w:pPr>
      <w:r>
        <w:rPr>
          <w:rFonts w:ascii="Times New Roman" w:hAnsi="Times New Roman"/>
          <w:b/>
          <w:color w:val="000000"/>
          <w:sz w:val="24"/>
          <w:szCs w:val="24"/>
        </w:rPr>
        <w:t>Table 5: Test Execution Log</w:t>
      </w:r>
    </w:p>
    <w:p>
      <w:pPr>
        <w:pStyle w:val="Heading2"/>
        <w:spacing w:lineRule="auto" w:line="276"/>
        <w:rPr>
          <w:color w:val="000000"/>
        </w:rPr>
      </w:pPr>
      <w:bookmarkStart w:id="109" w:name="__RefHeading___Toc7606_1562581415"/>
      <w:bookmarkEnd w:id="109"/>
      <w:r>
        <w:rPr>
          <w:rFonts w:ascii="Times New Roman" w:hAnsi="Times New Roman"/>
          <w:color w:val="000000"/>
          <w:sz w:val="24"/>
          <w:szCs w:val="24"/>
        </w:rPr>
        <w:t>8.</w:t>
      </w:r>
      <w:r>
        <w:rPr>
          <w:rFonts w:ascii="Times New Roman" w:hAnsi="Times New Roman"/>
          <w:color w:val="000000"/>
          <w:sz w:val="24"/>
          <w:szCs w:val="24"/>
        </w:rPr>
        <w:t>6. Defect Management</w:t>
      </w:r>
    </w:p>
    <w:p>
      <w:pPr>
        <w:pStyle w:val="Caption"/>
        <w:spacing w:lineRule="auto" w:line="276"/>
        <w:rPr>
          <w:color w:val="000000"/>
        </w:rPr>
      </w:pPr>
      <w:r>
        <w:rPr>
          <w:rFonts w:ascii="Times New Roman" w:hAnsi="Times New Roman"/>
          <w:b w:val="false"/>
          <w:color w:val="000000"/>
          <w:sz w:val="24"/>
          <w:szCs w:val="24"/>
        </w:rPr>
        <w:t>Table 6: Bug Tracking Registry</w:t>
      </w:r>
    </w:p>
    <w:tbl>
      <w:tblPr>
        <w:tblStyle w:val="Table"/>
        <w:tblW w:w="829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0"/>
        <w:gridCol w:w="2681"/>
      </w:tblGrid>
      <w:tr>
        <w:trPr>
          <w:tblHeader w:val="true"/>
        </w:trPr>
        <w:tc>
          <w:tcPr>
            <w:tcW w:w="1872"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Bug ID</w:t>
            </w:r>
          </w:p>
        </w:tc>
        <w:tc>
          <w:tcPr>
            <w:tcW w:w="1872"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Severity</w:t>
            </w:r>
          </w:p>
        </w:tc>
        <w:tc>
          <w:tcPr>
            <w:tcW w:w="1870"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Description</w:t>
            </w:r>
          </w:p>
        </w:tc>
        <w:tc>
          <w:tcPr>
            <w:tcW w:w="2681"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Resolution Status</w:t>
            </w:r>
          </w:p>
        </w:tc>
      </w:tr>
      <w:tr>
        <w:trPr/>
        <w:tc>
          <w:tcPr>
            <w:tcW w:w="1872"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BG-001</w:t>
            </w:r>
          </w:p>
        </w:tc>
        <w:tc>
          <w:tcPr>
            <w:tcW w:w="1872"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Critical</w:t>
            </w:r>
          </w:p>
        </w:tc>
        <w:tc>
          <w:tcPr>
            <w:tcW w:w="187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 Pesa 500 Error (Decimal Amount)</w:t>
            </w:r>
          </w:p>
        </w:tc>
        <w:tc>
          <w:tcPr>
            <w:tcW w:w="2681"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Fixed</w:t>
            </w:r>
            <w:r>
              <w:rPr>
                <w:rFonts w:eastAsia="" w:cs="" w:ascii="Times New Roman" w:hAnsi="Times New Roman"/>
                <w:color w:val="000000"/>
                <w:kern w:val="0"/>
                <w:sz w:val="24"/>
                <w:szCs w:val="24"/>
                <w:lang w:val="en-US" w:eastAsia="zh-CN" w:bidi="ar-SA"/>
              </w:rPr>
              <w:t>: Rounding logic added</w:t>
            </w:r>
          </w:p>
        </w:tc>
      </w:tr>
      <w:tr>
        <w:trPr/>
        <w:tc>
          <w:tcPr>
            <w:tcW w:w="1872"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BG-002</w:t>
            </w:r>
          </w:p>
        </w:tc>
        <w:tc>
          <w:tcPr>
            <w:tcW w:w="1872"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Critical</w:t>
            </w:r>
          </w:p>
        </w:tc>
        <w:tc>
          <w:tcPr>
            <w:tcW w:w="187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Render File Loss (Ephemeral FS)</w:t>
            </w:r>
          </w:p>
        </w:tc>
        <w:tc>
          <w:tcPr>
            <w:tcW w:w="2681"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Fixed</w:t>
            </w:r>
            <w:r>
              <w:rPr>
                <w:rFonts w:eastAsia="" w:cs="" w:ascii="Times New Roman" w:hAnsi="Times New Roman"/>
                <w:color w:val="000000"/>
                <w:kern w:val="0"/>
                <w:sz w:val="24"/>
                <w:szCs w:val="24"/>
                <w:lang w:val="en-US" w:eastAsia="zh-CN" w:bidi="ar-SA"/>
              </w:rPr>
              <w:t>: Migrated to Supabase</w:t>
            </w:r>
          </w:p>
        </w:tc>
      </w:tr>
      <w:tr>
        <w:trPr/>
        <w:tc>
          <w:tcPr>
            <w:tcW w:w="1872"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BG-003</w:t>
            </w:r>
          </w:p>
        </w:tc>
        <w:tc>
          <w:tcPr>
            <w:tcW w:w="1872"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High</w:t>
            </w:r>
          </w:p>
        </w:tc>
        <w:tc>
          <w:tcPr>
            <w:tcW w:w="187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Invisible Text in Notification Cards</w:t>
            </w:r>
          </w:p>
        </w:tc>
        <w:tc>
          <w:tcPr>
            <w:tcW w:w="2681"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Fixed</w:t>
            </w:r>
            <w:r>
              <w:rPr>
                <w:rFonts w:eastAsia="" w:cs="" w:ascii="Times New Roman" w:hAnsi="Times New Roman"/>
                <w:color w:val="000000"/>
                <w:kern w:val="0"/>
                <w:sz w:val="24"/>
                <w:szCs w:val="24"/>
                <w:lang w:val="en-US" w:eastAsia="zh-CN" w:bidi="ar-SA"/>
              </w:rPr>
              <w:t>: Chakra UI theme tokens</w:t>
            </w:r>
          </w:p>
        </w:tc>
      </w:tr>
      <w:tr>
        <w:trPr/>
        <w:tc>
          <w:tcPr>
            <w:tcW w:w="1872"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BG-004</w:t>
            </w:r>
          </w:p>
        </w:tc>
        <w:tc>
          <w:tcPr>
            <w:tcW w:w="1872"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Medium</w:t>
            </w:r>
          </w:p>
        </w:tc>
        <w:tc>
          <w:tcPr>
            <w:tcW w:w="1870"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Gemini Quota Exhaustion Timeout</w:t>
            </w:r>
          </w:p>
        </w:tc>
        <w:tc>
          <w:tcPr>
            <w:tcW w:w="2681"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Fixed</w:t>
            </w:r>
            <w:r>
              <w:rPr>
                <w:rFonts w:eastAsia="" w:cs="" w:ascii="Times New Roman" w:hAnsi="Times New Roman"/>
                <w:color w:val="000000"/>
                <w:kern w:val="0"/>
                <w:sz w:val="24"/>
                <w:szCs w:val="24"/>
                <w:lang w:val="en-US" w:eastAsia="zh-CN" w:bidi="ar-SA"/>
              </w:rPr>
              <w:t>: Redis cache implemented</w:t>
            </w:r>
          </w:p>
        </w:tc>
      </w:tr>
    </w:tbl>
    <w:p>
      <w:pPr>
        <w:pStyle w:val="Normal"/>
        <w:spacing w:lineRule="auto" w:line="276"/>
        <w:jc w:val="center"/>
        <w:rPr>
          <w:color w:val="000000"/>
        </w:rPr>
      </w:pPr>
      <w:r>
        <w:rPr>
          <w:rFonts w:ascii="Times New Roman" w:hAnsi="Times New Roman"/>
          <w:b/>
          <w:color w:val="000000"/>
          <w:sz w:val="24"/>
          <w:szCs w:val="24"/>
        </w:rPr>
        <w:t>Table 6: Bug Tracking Registry</w:t>
      </w:r>
    </w:p>
    <w:p>
      <w:pPr>
        <w:pStyle w:val="Heading2"/>
        <w:spacing w:lineRule="auto" w:line="276"/>
        <w:rPr>
          <w:color w:val="000000"/>
        </w:rPr>
      </w:pPr>
      <w:bookmarkStart w:id="110" w:name="__RefHeading___Toc7608_1562581415"/>
      <w:bookmarkEnd w:id="110"/>
      <w:r>
        <w:rPr>
          <w:rFonts w:ascii="Times New Roman" w:hAnsi="Times New Roman"/>
          <w:color w:val="000000"/>
          <w:sz w:val="24"/>
          <w:szCs w:val="24"/>
        </w:rPr>
        <w:t>8.</w:t>
      </w:r>
      <w:r>
        <w:rPr>
          <w:rFonts w:ascii="Times New Roman" w:hAnsi="Times New Roman"/>
          <w:color w:val="000000"/>
          <w:sz w:val="24"/>
          <w:szCs w:val="24"/>
        </w:rPr>
        <w:t>7. API and Integrations</w:t>
      </w:r>
    </w:p>
    <w:p>
      <w:pPr>
        <w:pStyle w:val="Caption"/>
        <w:spacing w:lineRule="auto" w:line="276"/>
        <w:rPr>
          <w:color w:val="000000"/>
        </w:rPr>
      </w:pPr>
      <w:r>
        <w:rPr>
          <w:rFonts w:ascii="Times New Roman" w:hAnsi="Times New Roman"/>
          <w:b w:val="false"/>
          <w:color w:val="000000"/>
          <w:sz w:val="24"/>
          <w:szCs w:val="24"/>
        </w:rPr>
        <w:t>Table 7: Endpoint Specification Table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07"/>
        <w:gridCol w:w="2108"/>
        <w:gridCol w:w="2108"/>
        <w:gridCol w:w="2108"/>
        <w:gridCol w:w="2108"/>
      </w:tblGrid>
      <w:tr>
        <w:trPr>
          <w:tblHeader w:val="true"/>
        </w:trPr>
        <w:tc>
          <w:tcPr>
            <w:tcW w:w="2107"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Endpoint URL</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Method</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Payload / Parameters</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Response Format</w:t>
            </w:r>
          </w:p>
        </w:tc>
        <w:tc>
          <w:tcPr>
            <w:tcW w:w="2108"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Purpose</w:t>
            </w:r>
          </w:p>
        </w:tc>
      </w:tr>
      <w:tr>
        <w:trPr/>
        <w:tc>
          <w:tcPr>
            <w:tcW w:w="2107"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/api/auth/login</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POST</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{email, password}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JSON (JWT Token)</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User authentication.</w:t>
            </w:r>
          </w:p>
        </w:tc>
      </w:tr>
      <w:tr>
        <w:trPr/>
        <w:tc>
          <w:tcPr>
            <w:tcW w:w="2107"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/api/ai/match</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GET</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?student_id={id}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JSON (Single Match Object)</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Trigger AI best fit engine.</w:t>
            </w:r>
          </w:p>
        </w:tc>
      </w:tr>
      <w:tr>
        <w:trPr/>
        <w:tc>
          <w:tcPr>
            <w:tcW w:w="2107"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/api/pay/stk</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POST</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{amount, phone_number}</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JSON (CheckoutID)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Initiate M Pesa payment.</w:t>
            </w:r>
          </w:p>
        </w:tc>
      </w:tr>
      <w:tr>
        <w:trPr/>
        <w:tc>
          <w:tcPr>
            <w:tcW w:w="2107"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/api/log/entry</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POST</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{activities, challenges}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JSON (Entry Object)</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Submit daily logbook record.</w:t>
            </w:r>
          </w:p>
        </w:tc>
      </w:tr>
      <w:tr>
        <w:trPr/>
        <w:tc>
          <w:tcPr>
            <w:tcW w:w="2107"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/api/docs/letters</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GET</w:t>
            </w:r>
          </w:p>
        </w:tc>
        <w:tc>
          <w:tcPr>
            <w:tcW w:w="2108" w:type="dxa"/>
            <w:tcBorders/>
          </w:tcPr>
          <w:p>
            <w:pPr>
              <w:pStyle w:val="Compact"/>
              <w:widowControl/>
              <w:suppressAutoHyphens w:val="true"/>
              <w:spacing w:lineRule="auto" w:line="276" w:before="36" w:after="36"/>
              <w:jc w:val="left"/>
              <w:rPr/>
            </w:pPr>
            <w:r>
              <w:rPr>
                <w:rStyle w:val="VerbatimChar"/>
                <w:rFonts w:eastAsia="" w:cs="" w:ascii="Times New Roman" w:hAnsi="Times New Roman"/>
                <w:color w:val="000000"/>
                <w:kern w:val="0"/>
                <w:sz w:val="24"/>
                <w:szCs w:val="24"/>
                <w:lang w:val="en-US" w:eastAsia="zh-CN" w:bidi="ar-SA"/>
              </w:rPr>
              <w:t>?app_id={id}</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PDF (Binary)</w:t>
            </w:r>
          </w:p>
        </w:tc>
        <w:tc>
          <w:tcPr>
            <w:tcW w:w="2108"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Download Cover/Acceptance letters.</w:t>
            </w:r>
            <w:bookmarkStart w:id="111" w:name="table-endpoint-specification-table"/>
            <w:bookmarkEnd w:id="111"/>
          </w:p>
        </w:tc>
      </w:tr>
    </w:tbl>
    <w:p>
      <w:pPr>
        <w:pStyle w:val="Normal"/>
        <w:spacing w:lineRule="auto" w:line="276"/>
        <w:jc w:val="center"/>
        <w:rPr>
          <w:color w:val="000000"/>
        </w:rPr>
      </w:pPr>
      <w:r>
        <w:rPr>
          <w:rFonts w:ascii="Times New Roman" w:hAnsi="Times New Roman"/>
          <w:b/>
          <w:color w:val="000000"/>
          <w:sz w:val="24"/>
          <w:szCs w:val="24"/>
        </w:rPr>
        <w:t>Table 7: Endpoint Specification Table</w:t>
      </w:r>
    </w:p>
    <w:p>
      <w:pPr>
        <w:pStyle w:val="Heading2"/>
        <w:spacing w:lineRule="auto" w:line="276"/>
        <w:rPr>
          <w:color w:val="000000"/>
        </w:rPr>
      </w:pPr>
      <w:bookmarkStart w:id="112" w:name="__RefHeading___Toc7610_1562581415"/>
      <w:bookmarkEnd w:id="112"/>
      <w:r>
        <w:rPr>
          <w:rFonts w:ascii="Times New Roman" w:hAnsi="Times New Roman"/>
          <w:color w:val="000000"/>
          <w:sz w:val="24"/>
          <w:szCs w:val="24"/>
        </w:rPr>
        <w:t>8.</w:t>
      </w:r>
      <w:r>
        <w:rPr>
          <w:rFonts w:ascii="Times New Roman" w:hAnsi="Times New Roman"/>
          <w:color w:val="000000"/>
          <w:sz w:val="24"/>
          <w:szCs w:val="24"/>
        </w:rPr>
        <w:t>8. Project Timeline and Handoff</w:t>
      </w:r>
    </w:p>
    <w:p>
      <w:pPr>
        <w:pStyle w:val="Caption"/>
        <w:spacing w:lineRule="auto" w:line="276"/>
        <w:rPr>
          <w:color w:val="000000"/>
        </w:rPr>
      </w:pPr>
      <w:r>
        <w:rPr>
          <w:rFonts w:ascii="Times New Roman" w:hAnsi="Times New Roman"/>
          <w:b w:val="false"/>
          <w:color w:val="000000"/>
          <w:sz w:val="24"/>
          <w:szCs w:val="24"/>
        </w:rPr>
        <w:t>Table 8: Milestone &amp; Delivery Schedule</w:t>
      </w:r>
    </w:p>
    <w:tbl>
      <w:tblPr>
        <w:tblStyle w:val="Table"/>
        <w:tblW w:w="7485"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39"/>
        <w:gridCol w:w="2807"/>
      </w:tblGrid>
      <w:tr>
        <w:trPr>
          <w:tblHeader w:val="true"/>
        </w:trPr>
        <w:tc>
          <w:tcPr>
            <w:tcW w:w="2339"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Phase Name</w:t>
            </w:r>
          </w:p>
        </w:tc>
        <w:tc>
          <w:tcPr>
            <w:tcW w:w="2339"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Planned Completion</w:t>
            </w:r>
          </w:p>
        </w:tc>
        <w:tc>
          <w:tcPr>
            <w:tcW w:w="2807" w:type="dxa"/>
            <w:tcBorders>
              <w:bottom w:val="single" w:sz="6" w:space="0" w:color="000000"/>
            </w:tcBorders>
            <w:vAlign w:val="bottom"/>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Actual Completion</w:t>
            </w:r>
          </w:p>
        </w:tc>
      </w:tr>
      <w:tr>
        <w:trPr/>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Proposal &amp; Research</w:t>
            </w:r>
          </w:p>
        </w:tc>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2026-02-15</w:t>
            </w:r>
          </w:p>
        </w:tc>
        <w:tc>
          <w:tcPr>
            <w:tcW w:w="280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2026-02-10</w:t>
            </w:r>
          </w:p>
        </w:tc>
      </w:tr>
      <w:tr>
        <w:trPr/>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Database Design</w:t>
            </w:r>
          </w:p>
        </w:tc>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2026-03-01</w:t>
            </w:r>
          </w:p>
        </w:tc>
        <w:tc>
          <w:tcPr>
            <w:tcW w:w="280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2026-02-28</w:t>
            </w:r>
          </w:p>
        </w:tc>
      </w:tr>
      <w:tr>
        <w:trPr/>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Backend Integration</w:t>
            </w:r>
          </w:p>
        </w:tc>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2026-04-10</w:t>
            </w:r>
          </w:p>
        </w:tc>
        <w:tc>
          <w:tcPr>
            <w:tcW w:w="280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2026-04-15</w:t>
            </w:r>
          </w:p>
        </w:tc>
      </w:tr>
      <w:tr>
        <w:trPr/>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AI Matching Engine</w:t>
            </w:r>
          </w:p>
        </w:tc>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2026-04-20</w:t>
            </w:r>
          </w:p>
        </w:tc>
        <w:tc>
          <w:tcPr>
            <w:tcW w:w="280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2026-04-22</w:t>
            </w:r>
          </w:p>
        </w:tc>
      </w:tr>
      <w:tr>
        <w:trPr/>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Final UAT &amp; Testing</w:t>
            </w:r>
          </w:p>
        </w:tc>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2026-05-01</w:t>
            </w:r>
          </w:p>
        </w:tc>
        <w:tc>
          <w:tcPr>
            <w:tcW w:w="2807"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2026-05-02</w:t>
            </w:r>
          </w:p>
        </w:tc>
      </w:tr>
      <w:tr>
        <w:trPr/>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Handoff &amp; Deployment</w:t>
            </w:r>
          </w:p>
        </w:tc>
        <w:tc>
          <w:tcPr>
            <w:tcW w:w="2339" w:type="dxa"/>
            <w:tcBorders/>
          </w:tcPr>
          <w:p>
            <w:pPr>
              <w:pStyle w:val="Compact"/>
              <w:widowControl/>
              <w:suppressAutoHyphens w:val="true"/>
              <w:spacing w:lineRule="auto" w:line="276" w:before="36" w:after="36"/>
              <w:jc w:val="left"/>
              <w:rPr>
                <w:color w:val="000000"/>
              </w:rPr>
            </w:pPr>
            <w:r>
              <w:rPr>
                <w:rFonts w:eastAsia="" w:cs="" w:ascii="Times New Roman" w:hAnsi="Times New Roman"/>
                <w:color w:val="000000"/>
                <w:kern w:val="0"/>
                <w:sz w:val="24"/>
                <w:szCs w:val="24"/>
                <w:lang w:val="en-US" w:eastAsia="zh-CN" w:bidi="ar-SA"/>
              </w:rPr>
              <w:t>2026-05-05</w:t>
            </w:r>
          </w:p>
        </w:tc>
        <w:tc>
          <w:tcPr>
            <w:tcW w:w="2807" w:type="dxa"/>
            <w:tcBorders/>
          </w:tcPr>
          <w:p>
            <w:pPr>
              <w:pStyle w:val="Compact"/>
              <w:widowControl/>
              <w:suppressAutoHyphens w:val="true"/>
              <w:spacing w:lineRule="auto" w:line="276" w:before="36" w:after="36"/>
              <w:jc w:val="left"/>
              <w:rPr>
                <w:color w:val="000000"/>
              </w:rPr>
            </w:pPr>
            <w:r>
              <w:rPr>
                <w:rFonts w:eastAsia="" w:cs="" w:ascii="Times New Roman" w:hAnsi="Times New Roman"/>
                <w:b/>
                <w:bCs/>
                <w:color w:val="000000"/>
                <w:kern w:val="0"/>
                <w:sz w:val="24"/>
                <w:szCs w:val="24"/>
                <w:lang w:val="en-US" w:eastAsia="zh-CN" w:bidi="ar-SA"/>
              </w:rPr>
              <w:t>In Progress</w:t>
            </w:r>
          </w:p>
        </w:tc>
      </w:tr>
    </w:tbl>
    <w:p>
      <w:pPr>
        <w:pStyle w:val="Normal"/>
        <w:spacing w:lineRule="auto" w:line="276"/>
        <w:jc w:val="center"/>
        <w:rPr>
          <w:b/>
          <w:color w:val="000000"/>
        </w:rPr>
      </w:pPr>
      <w:r>
        <w:rPr>
          <w:b/>
          <w:color w:val="000000"/>
        </w:rPr>
      </w:r>
    </w:p>
    <w:p>
      <w:pPr>
        <w:pStyle w:val="Heading1"/>
        <w:spacing w:lineRule="auto" w:line="276"/>
        <w:rPr>
          <w:color w:val="000000"/>
        </w:rPr>
      </w:pPr>
      <w:bookmarkStart w:id="113" w:name="__RefHeading___Toc7612_1562581415"/>
      <w:bookmarkEnd w:id="113"/>
      <w:r>
        <w:rPr>
          <w:rFonts w:ascii="Times New Roman" w:hAnsi="Times New Roman"/>
          <w:color w:val="000000"/>
          <w:sz w:val="24"/>
          <w:szCs w:val="24"/>
        </w:rPr>
        <w:t xml:space="preserve">CHAPTER </w:t>
      </w:r>
      <w:r>
        <w:rPr>
          <w:rFonts w:ascii="Times New Roman" w:hAnsi="Times New Roman"/>
          <w:color w:val="000000"/>
          <w:sz w:val="24"/>
          <w:szCs w:val="24"/>
        </w:rPr>
        <w:t>9</w:t>
      </w:r>
      <w:r>
        <w:rPr>
          <w:rFonts w:ascii="Times New Roman" w:hAnsi="Times New Roman"/>
          <w:color w:val="000000"/>
          <w:sz w:val="24"/>
          <w:szCs w:val="24"/>
        </w:rPr>
        <w:t>: VISUAL VERIFICATION AND EMPIRICAL EVIDENCE</w:t>
      </w:r>
    </w:p>
    <w:p>
      <w:pPr>
        <w:pStyle w:val="Heading2"/>
        <w:spacing w:lineRule="auto" w:line="276"/>
        <w:rPr>
          <w:color w:val="000000"/>
        </w:rPr>
      </w:pPr>
      <w:bookmarkStart w:id="114" w:name="__RefHeading___Toc7614_1562581415"/>
      <w:bookmarkEnd w:id="114"/>
      <w:r>
        <w:rPr>
          <w:rFonts w:ascii="Times New Roman" w:hAnsi="Times New Roman"/>
          <w:color w:val="000000"/>
          <w:sz w:val="24"/>
          <w:szCs w:val="24"/>
        </w:rPr>
        <w:t>9</w:t>
      </w:r>
      <w:bookmarkStart w:id="115" w:name="introduction-to-visual-system-validation"/>
      <w:r>
        <w:rPr>
          <w:rFonts w:ascii="Times New Roman" w:hAnsi="Times New Roman"/>
          <w:color w:val="000000"/>
          <w:sz w:val="24"/>
          <w:szCs w:val="24"/>
        </w:rPr>
        <w:t>.1 Introduction to Visual System Validation</w:t>
      </w:r>
    </w:p>
    <w:p>
      <w:pPr>
        <w:pStyle w:val="FirstParagraph"/>
        <w:spacing w:lineRule="auto" w:line="276"/>
        <w:rPr>
          <w:color w:val="000000"/>
        </w:rPr>
      </w:pPr>
      <w:r>
        <w:rPr>
          <w:rFonts w:ascii="Times New Roman" w:hAnsi="Times New Roman"/>
          <w:color w:val="000000"/>
          <w:sz w:val="24"/>
          <w:szCs w:val="24"/>
        </w:rPr>
        <w:t>The purpose of this chapter is to provide empirical evidence of the operational status of the AISHA platform through a series of high resolution screenshots captured from the live production environment. These visual artifacts serve as a critical bridge between our technical documentation and the actual user experience, proving that the security protocols, architectural designs, and functional workflows described in the previous chapters are fully implemented and functional. Each screenshot in this section is directly linked to a specific test case within our Test Execution Log, providing a final visual sign off for the project’s technical deliverables.</w:t>
      </w:r>
      <w:bookmarkEnd w:id="115"/>
    </w:p>
    <w:p>
      <w:pPr>
        <w:pStyle w:val="Heading2"/>
        <w:spacing w:lineRule="auto" w:line="276"/>
        <w:rPr>
          <w:color w:val="000000"/>
        </w:rPr>
      </w:pPr>
      <w:bookmarkStart w:id="116" w:name="__RefHeading___Toc7616_1562581415"/>
      <w:bookmarkEnd w:id="116"/>
      <w:r>
        <w:rPr>
          <w:rFonts w:ascii="Times New Roman" w:hAnsi="Times New Roman"/>
          <w:color w:val="000000"/>
          <w:sz w:val="24"/>
          <w:szCs w:val="24"/>
        </w:rPr>
        <w:t>9</w:t>
      </w:r>
      <w:bookmarkStart w:id="117" w:name="Xc592f99b7a2b88323d69800877428c97214d44b"/>
      <w:r>
        <w:rPr>
          <w:rFonts w:ascii="Times New Roman" w:hAnsi="Times New Roman"/>
          <w:color w:val="000000"/>
          <w:sz w:val="24"/>
          <w:szCs w:val="24"/>
        </w:rPr>
        <w:t>.2 Authentication and Security Implementation</w:t>
      </w:r>
    </w:p>
    <w:p>
      <w:pPr>
        <w:pStyle w:val="FirstParagraph"/>
        <w:spacing w:lineRule="auto" w:line="276"/>
        <w:rPr>
          <w:color w:val="000000"/>
        </w:rPr>
      </w:pPr>
      <w:r>
        <w:rPr>
          <w:rFonts w:ascii="Times New Roman" w:hAnsi="Times New Roman"/>
          <w:color w:val="000000"/>
          <w:sz w:val="24"/>
          <w:szCs w:val="24"/>
        </w:rPr>
        <w:t>The first level of visual verification focuses on the system’s entry point and its primary security layer. The authentication interface is designed to provide a premium and secure experience, utilizing JWT based session management and role based access control.</w:t>
      </w:r>
    </w:p>
    <w:p>
      <w:pPr>
        <w:pStyle w:val="BlockText"/>
        <w:spacing w:lineRule="auto" w:line="276"/>
        <w:rPr>
          <w:rFonts w:ascii="Times New Roman" w:hAnsi="Times New Roman"/>
          <w:i/>
          <w:iCs/>
          <w:color w:val="000000"/>
          <w:sz w:val="24"/>
          <w:szCs w:val="24"/>
        </w:rPr>
      </w:pPr>
      <w:r>
        <w:rPr>
          <w:rFonts w:ascii="Times New Roman" w:hAnsi="Times New Roman"/>
          <w:i/>
          <w:iCs/>
          <w:color w:val="000000"/>
          <w:sz w:val="24"/>
          <w:szCs w:val="24"/>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334000" cy="251015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6"/>
                    <a:stretch>
                      <a:fillRect/>
                    </a:stretch>
                  </pic:blipFill>
                  <pic:spPr bwMode="auto">
                    <a:xfrm>
                      <a:off x="0" y="0"/>
                      <a:ext cx="5334000" cy="2510155"/>
                    </a:xfrm>
                    <a:prstGeom prst="rect">
                      <a:avLst/>
                    </a:prstGeom>
                    <a:noFill/>
                  </pic:spPr>
                </pic:pic>
              </a:graphicData>
            </a:graphic>
          </wp:anchor>
        </w:drawing>
      </w:r>
      <w:bookmarkEnd w:id="117"/>
    </w:p>
    <w:p>
      <w:pPr>
        <w:pStyle w:val="Normal"/>
        <w:spacing w:lineRule="auto" w:line="276"/>
        <w:rPr>
          <w:rFonts w:ascii="Times New Roman" w:hAnsi="Times New Roman"/>
          <w:color w:val="000000"/>
          <w:sz w:val="24"/>
          <w:szCs w:val="24"/>
        </w:rPr>
      </w:pPr>
      <w:r>
        <w:rPr>
          <w:rFonts w:ascii="Times New Roman" w:hAnsi="Times New Roman"/>
          <w:color w:val="000000"/>
          <w:sz w:val="24"/>
          <w:szCs w:val="24"/>
        </w:rPr>
      </w:r>
    </w:p>
    <w:p>
      <w:pPr>
        <w:pStyle w:val="Normal"/>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bookmarkStart w:id="118" w:name="__RefHeading___Toc7618_1562581415"/>
      <w:bookmarkEnd w:id="118"/>
      <w:r>
        <w:rPr>
          <w:rFonts w:ascii="Times New Roman" w:hAnsi="Times New Roman"/>
          <w:color w:val="000000"/>
          <w:sz w:val="24"/>
          <w:szCs w:val="24"/>
        </w:rPr>
        <w:t>9</w:t>
      </w:r>
      <w:bookmarkStart w:id="119" w:name="the-tripartite-user-dashboard"/>
      <w:r>
        <w:rPr>
          <w:rFonts w:ascii="Times New Roman" w:hAnsi="Times New Roman"/>
          <w:color w:val="000000"/>
          <w:sz w:val="24"/>
          <w:szCs w:val="24"/>
        </w:rPr>
        <w:t>.3 The Tripartite User Dashboard</w:t>
      </w:r>
    </w:p>
    <w:p>
      <w:pPr>
        <w:pStyle w:val="FirstParagraph"/>
        <w:spacing w:lineRule="auto" w:line="276"/>
        <w:rPr>
          <w:color w:val="000000"/>
        </w:rPr>
      </w:pPr>
      <w:r>
        <w:rPr>
          <w:rFonts w:ascii="Times New Roman" w:hAnsi="Times New Roman"/>
          <w:color w:val="000000"/>
          <w:sz w:val="24"/>
          <w:szCs w:val="24"/>
        </w:rPr>
        <w:t>Once a user is authenticated, they are presented with a customized dashboard that reflects their specific system role. The dashboard is the central hub for all professional interactions, providing real time updates on matching status, logbook progress, and administrative alerts.</w:t>
      </w:r>
    </w:p>
    <w:p>
      <w:pPr>
        <w:pStyle w:val="BlockText"/>
        <w:spacing w:lineRule="auto" w:line="276"/>
        <w:rPr>
          <w:rFonts w:ascii="Times New Roman" w:hAnsi="Times New Roman"/>
          <w:i/>
          <w:iCs/>
          <w:color w:val="000000"/>
          <w:sz w:val="24"/>
          <w:szCs w:val="24"/>
        </w:rPr>
      </w:pPr>
      <w:r>
        <w:rPr>
          <w:rFonts w:ascii="Times New Roman" w:hAnsi="Times New Roman"/>
          <w:i/>
          <w:iCs/>
          <w:color w:val="000000"/>
          <w:sz w:val="24"/>
          <w:szCs w:val="24"/>
        </w:rPr>
      </w:r>
      <w:bookmarkEnd w:id="119"/>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drawing>
          <wp:anchor distT="0" distB="0" distL="0" distR="0" simplePos="0" relativeHeight="9" behindDoc="0" locked="0" layoutInCell="0" allowOverlap="1">
            <wp:simplePos x="0" y="0"/>
            <wp:positionH relativeFrom="column">
              <wp:posOffset>278765</wp:posOffset>
            </wp:positionH>
            <wp:positionV relativeFrom="paragraph">
              <wp:posOffset>-61595</wp:posOffset>
            </wp:positionV>
            <wp:extent cx="5334000" cy="302323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7"/>
                    <a:stretch>
                      <a:fillRect/>
                    </a:stretch>
                  </pic:blipFill>
                  <pic:spPr bwMode="auto">
                    <a:xfrm>
                      <a:off x="0" y="0"/>
                      <a:ext cx="5334000" cy="3023235"/>
                    </a:xfrm>
                    <a:prstGeom prst="rect">
                      <a:avLst/>
                    </a:prstGeom>
                    <a:noFill/>
                  </pic:spPr>
                </pic:pic>
              </a:graphicData>
            </a:graphic>
          </wp:anchor>
        </w:drawing>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r>
    </w:p>
    <w:p>
      <w:pPr>
        <w:pStyle w:val="BodyText"/>
        <w:spacing w:lineRule="auto" w:line="276"/>
        <w:rPr>
          <w:rFonts w:ascii="Times New Roman" w:hAnsi="Times New Roman"/>
          <w:i/>
          <w:iCs/>
          <w:color w:val="000000"/>
          <w:sz w:val="24"/>
          <w:szCs w:val="24"/>
        </w:rPr>
      </w:pPr>
      <w:r>
        <w:rPr>
          <w:rFonts w:ascii="Times New Roman" w:hAnsi="Times New Roman"/>
          <w:i/>
          <w:iCs/>
          <w:color w:val="000000"/>
          <w:sz w:val="24"/>
          <w:szCs w:val="24"/>
        </w:rPr>
        <w:drawing>
          <wp:anchor distT="0" distB="0" distL="0" distR="0" simplePos="0" relativeHeight="10" behindDoc="0" locked="0" layoutInCell="0" allowOverlap="1">
            <wp:simplePos x="0" y="0"/>
            <wp:positionH relativeFrom="column">
              <wp:posOffset>260350</wp:posOffset>
            </wp:positionH>
            <wp:positionV relativeFrom="paragraph">
              <wp:posOffset>353695</wp:posOffset>
            </wp:positionV>
            <wp:extent cx="5334000" cy="303212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8"/>
                    <a:stretch>
                      <a:fillRect/>
                    </a:stretch>
                  </pic:blipFill>
                  <pic:spPr bwMode="auto">
                    <a:xfrm>
                      <a:off x="0" y="0"/>
                      <a:ext cx="5334000" cy="3032125"/>
                    </a:xfrm>
                    <a:prstGeom prst="rect">
                      <a:avLst/>
                    </a:prstGeom>
                    <a:noFill/>
                  </pic:spPr>
                </pic:pic>
              </a:graphicData>
            </a:graphic>
          </wp:anchor>
        </w:drawing>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bookmarkStart w:id="120" w:name="__RefHeading___Toc9060_1562581415"/>
      <w:bookmarkEnd w:id="120"/>
      <w:r>
        <w:rPr>
          <w:rFonts w:ascii="Times New Roman" w:hAnsi="Times New Roman"/>
          <w:color w:val="000000"/>
          <w:sz w:val="24"/>
          <w:szCs w:val="24"/>
        </w:rPr>
        <w:t>9</w:t>
      </w:r>
      <w:bookmarkStart w:id="121" w:name="verification-of-key-functional-workflows"/>
      <w:r>
        <w:rPr>
          <w:rFonts w:ascii="Times New Roman" w:hAnsi="Times New Roman"/>
          <w:color w:val="000000"/>
          <w:sz w:val="24"/>
          <w:szCs w:val="24"/>
        </w:rPr>
        <w:t>.4 Verification of Key Functional Workflows</w:t>
      </w:r>
    </w:p>
    <w:p>
      <w:pPr>
        <w:pStyle w:val="FirstParagraph"/>
        <w:spacing w:lineRule="auto" w:line="276"/>
        <w:rPr>
          <w:color w:val="000000"/>
        </w:rPr>
      </w:pPr>
      <w:r>
        <w:rPr>
          <w:rFonts w:ascii="Times New Roman" w:hAnsi="Times New Roman"/>
          <w:color w:val="000000"/>
          <w:sz w:val="24"/>
          <w:szCs w:val="24"/>
        </w:rPr>
        <w:t>To prove that the backend processing is functioning correctly, we must visually document the successful completion of a core system workflow. This involves capturing the “Success” state of an interaction that requires both database updates and external API calls.</w:t>
      </w:r>
    </w:p>
    <w:p>
      <w:pPr>
        <w:pStyle w:val="BlockText"/>
        <w:spacing w:lineRule="auto" w:line="276"/>
        <w:rPr>
          <w:rFonts w:ascii="Times New Roman" w:hAnsi="Times New Roman"/>
          <w:color w:val="000000"/>
          <w:sz w:val="24"/>
          <w:szCs w:val="24"/>
        </w:rPr>
      </w:pPr>
      <w:r>
        <w:rPr>
          <w:rFonts w:ascii="Times New Roman" w:hAnsi="Times New Roman"/>
          <w:color w:val="000000"/>
          <w:sz w:val="24"/>
          <w:szCs w:val="24"/>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334000" cy="300291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9"/>
                    <a:stretch>
                      <a:fillRect/>
                    </a:stretch>
                  </pic:blipFill>
                  <pic:spPr bwMode="auto">
                    <a:xfrm>
                      <a:off x="0" y="0"/>
                      <a:ext cx="5334000" cy="3002915"/>
                    </a:xfrm>
                    <a:prstGeom prst="rect">
                      <a:avLst/>
                    </a:prstGeom>
                    <a:noFill/>
                  </pic:spPr>
                </pic:pic>
              </a:graphicData>
            </a:graphic>
          </wp:anchor>
        </w:drawing>
      </w:r>
      <w:bookmarkEnd w:id="121"/>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bookmarkStart w:id="122" w:name="__RefHeading___Toc7622_1562581415"/>
      <w:bookmarkEnd w:id="122"/>
      <w:r>
        <w:rPr>
          <w:rFonts w:ascii="Times New Roman" w:hAnsi="Times New Roman"/>
          <w:color w:val="000000"/>
          <w:sz w:val="24"/>
          <w:szCs w:val="24"/>
        </w:rPr>
        <w:t>9</w:t>
      </w:r>
      <w:bookmarkStart w:id="123" w:name="Xc6d68bad0e7ea3fcca22257de5b41a5e39aa281"/>
      <w:r>
        <w:rPr>
          <w:rFonts w:ascii="Times New Roman" w:hAnsi="Times New Roman"/>
          <w:color w:val="000000"/>
          <w:sz w:val="24"/>
          <w:szCs w:val="24"/>
        </w:rPr>
        <w:t>.5 Database and Infrastructure Operational Status</w:t>
      </w:r>
    </w:p>
    <w:p>
      <w:pPr>
        <w:pStyle w:val="FirstParagraph"/>
        <w:spacing w:lineRule="auto" w:line="276"/>
        <w:rPr>
          <w:color w:val="000000"/>
        </w:rPr>
      </w:pPr>
      <w:r>
        <w:rPr>
          <w:rFonts w:ascii="Times New Roman" w:hAnsi="Times New Roman"/>
          <w:color w:val="000000"/>
          <w:sz w:val="24"/>
          <w:szCs w:val="24"/>
        </w:rPr>
        <w:t>Beyond the user interface, it is critical to provide evidence of the system’s underlying data structure and deployment health. This involves capturing the state of our cloud native infrastructure and our managed persistence layer.</w:t>
      </w:r>
    </w:p>
    <w:p>
      <w:pPr>
        <w:pStyle w:val="BlockText"/>
        <w:spacing w:lineRule="auto" w:line="276"/>
        <w:rPr>
          <w:rFonts w:ascii="Times New Roman" w:hAnsi="Times New Roman"/>
          <w:i/>
          <w:iCs/>
          <w:color w:val="000000"/>
          <w:sz w:val="24"/>
          <w:szCs w:val="24"/>
        </w:rPr>
      </w:pPr>
      <w:r>
        <w:rPr>
          <w:rFonts w:ascii="Times New Roman" w:hAnsi="Times New Roman"/>
          <w:i/>
          <w:iCs/>
          <w:color w:val="000000"/>
          <w:sz w:val="24"/>
          <w:szCs w:val="24"/>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334000" cy="300418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0"/>
                    <a:stretch>
                      <a:fillRect/>
                    </a:stretch>
                  </pic:blipFill>
                  <pic:spPr bwMode="auto">
                    <a:xfrm>
                      <a:off x="0" y="0"/>
                      <a:ext cx="5334000" cy="3004185"/>
                    </a:xfrm>
                    <a:prstGeom prst="rect">
                      <a:avLst/>
                    </a:prstGeom>
                    <a:noFill/>
                  </pic:spPr>
                </pic:pic>
              </a:graphicData>
            </a:graphic>
          </wp:anchor>
        </w:drawing>
      </w:r>
    </w:p>
    <w:p>
      <w:pPr>
        <w:pStyle w:val="BlockText"/>
        <w:spacing w:lineRule="auto" w:line="276"/>
        <w:rPr>
          <w:rFonts w:ascii="Times New Roman" w:hAnsi="Times New Roman"/>
          <w:i/>
          <w:iCs/>
          <w:color w:val="000000"/>
          <w:sz w:val="24"/>
          <w:szCs w:val="24"/>
        </w:rPr>
      </w:pPr>
      <w:r>
        <w:rPr>
          <w:rFonts w:ascii="Times New Roman" w:hAnsi="Times New Roman"/>
          <w:i/>
          <w:iCs/>
          <w:color w:val="000000"/>
          <w:sz w:val="24"/>
          <w:szCs w:val="24"/>
        </w:rPr>
      </w:r>
      <w:bookmarkEnd w:id="123"/>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338445" cy="300228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1"/>
                    <a:stretch>
                      <a:fillRect/>
                    </a:stretch>
                  </pic:blipFill>
                  <pic:spPr bwMode="auto">
                    <a:xfrm>
                      <a:off x="0" y="0"/>
                      <a:ext cx="5338445" cy="3002280"/>
                    </a:xfrm>
                    <a:prstGeom prst="rect">
                      <a:avLst/>
                    </a:prstGeom>
                    <a:noFill/>
                  </pic:spPr>
                </pic:pic>
              </a:graphicData>
            </a:graphic>
          </wp:anchor>
        </w:drawing>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76"/>
        <w:rPr>
          <w:rFonts w:ascii="Times New Roman" w:hAnsi="Times New Roman"/>
          <w:color w:val="000000"/>
          <w:sz w:val="24"/>
          <w:szCs w:val="24"/>
        </w:rPr>
      </w:pPr>
      <w:bookmarkStart w:id="124" w:name="__RefHeading___Toc7624_1562581415"/>
      <w:bookmarkEnd w:id="124"/>
      <w:r>
        <w:rPr>
          <w:rFonts w:ascii="Times New Roman" w:hAnsi="Times New Roman"/>
          <w:color w:val="000000"/>
          <w:sz w:val="24"/>
          <w:szCs w:val="24"/>
        </w:rPr>
        <w:t>9</w:t>
      </w:r>
      <w:bookmarkStart w:id="125" w:name="conclusion-of-visual-evidence"/>
      <w:r>
        <w:rPr>
          <w:rFonts w:ascii="Times New Roman" w:hAnsi="Times New Roman"/>
          <w:color w:val="000000"/>
          <w:sz w:val="24"/>
          <w:szCs w:val="24"/>
        </w:rPr>
        <w:t>.6 Conclusion of Visual Evidence</w:t>
      </w:r>
    </w:p>
    <w:p>
      <w:pPr>
        <w:pStyle w:val="FirstParagraph"/>
        <w:spacing w:lineRule="auto" w:line="276"/>
        <w:rPr>
          <w:color w:val="000000"/>
        </w:rPr>
      </w:pPr>
      <w:r>
        <w:rPr>
          <w:rFonts w:ascii="Times New Roman" w:hAnsi="Times New Roman"/>
          <w:color w:val="000000"/>
          <w:sz w:val="24"/>
          <w:szCs w:val="24"/>
        </w:rPr>
        <w:t>Together, these visual artifacts provide a comprehensive and undeniable account of the AISHA platform’s readiness for full scale deployment. They confirm that our theoretical designs have been successfully translated into a living, breathing software system that meets the high professional standards required by Masinde Muliro University and its industrial partners.</w:t>
      </w:r>
      <w:bookmarkEnd w:id="125"/>
    </w:p>
    <w:p>
      <w:pPr>
        <w:pStyle w:val="Heading1"/>
        <w:spacing w:lineRule="auto" w:line="276"/>
        <w:rPr>
          <w:color w:val="000000"/>
        </w:rPr>
      </w:pPr>
      <w:bookmarkStart w:id="126" w:name="__RefHeading___Toc7626_1562581415"/>
      <w:bookmarkEnd w:id="126"/>
      <w:r>
        <w:rPr>
          <w:rFonts w:ascii="Times New Roman" w:hAnsi="Times New Roman"/>
          <w:color w:val="000000"/>
          <w:sz w:val="24"/>
          <w:szCs w:val="24"/>
        </w:rPr>
        <w:t xml:space="preserve">CHAPTER </w:t>
      </w:r>
      <w:r>
        <w:rPr>
          <w:rFonts w:ascii="Times New Roman" w:hAnsi="Times New Roman"/>
          <w:color w:val="000000"/>
          <w:sz w:val="24"/>
          <w:szCs w:val="24"/>
        </w:rPr>
        <w:t>10</w:t>
      </w:r>
      <w:r>
        <w:rPr>
          <w:rFonts w:ascii="Times New Roman" w:hAnsi="Times New Roman"/>
          <w:color w:val="000000"/>
          <w:sz w:val="24"/>
          <w:szCs w:val="24"/>
        </w:rPr>
        <w:t>: CONCLUSION AND FUTURE WORK</w:t>
      </w:r>
    </w:p>
    <w:p>
      <w:pPr>
        <w:pStyle w:val="Heading2"/>
        <w:spacing w:lineRule="auto" w:line="276"/>
        <w:rPr>
          <w:color w:val="000000"/>
        </w:rPr>
      </w:pPr>
      <w:bookmarkStart w:id="127" w:name="__RefHeading___Toc7628_1562581415"/>
      <w:bookmarkEnd w:id="127"/>
      <w:r>
        <w:rPr>
          <w:rFonts w:ascii="Times New Roman" w:hAnsi="Times New Roman"/>
          <w:color w:val="000000"/>
          <w:sz w:val="24"/>
          <w:szCs w:val="24"/>
        </w:rPr>
        <w:t>10</w:t>
      </w:r>
      <w:bookmarkStart w:id="128" w:name="Xb074fdfd2031df433433a84237549c049d159e4"/>
      <w:r>
        <w:rPr>
          <w:rFonts w:ascii="Times New Roman" w:hAnsi="Times New Roman"/>
          <w:color w:val="000000"/>
          <w:sz w:val="24"/>
          <w:szCs w:val="24"/>
        </w:rPr>
        <w:t>.1 Comprehensive Summary of Project Achievements</w:t>
      </w:r>
    </w:p>
    <w:p>
      <w:pPr>
        <w:pStyle w:val="FirstParagraph"/>
        <w:spacing w:lineRule="auto" w:line="276"/>
        <w:rPr>
          <w:color w:val="000000"/>
        </w:rPr>
      </w:pPr>
      <w:r>
        <w:rPr>
          <w:rFonts w:ascii="Times New Roman" w:hAnsi="Times New Roman"/>
          <w:color w:val="000000"/>
          <w:sz w:val="24"/>
          <w:szCs w:val="24"/>
        </w:rPr>
        <w:t>The AISHA platform represents a significant and transformative achievement in the modernization of the industrial attachment ecosystem within Kenya’s higher education sector. By successfully moving from a fragmented, paper based manual system to an intelligent, cloud native ecosystem, we have solved the deep seated problems of information asymmetry, administrative inefficiency, and documentation bottlenecks that have hindered student progress for decades. The project has moved beyond the “proof of concept” phase to deliver a functional, multi tenant platform that effectively serves the diverse needs of students, industrial partners, and academic coordinators. Our primary achievement lies in proving that state of the art Artificial Intelligence, specifically Large Language Models like Google Gemini, can be integrated into institutional workflows to ensure that the professional matching process is fair, transparent, and merit based. AISHA has successfully transformed the three month industrial attachment from a passive administrative exercise into a verified, intelligent learning journey that provides students with the real world skills they need to succeed in the modern global economy.</w:t>
      </w:r>
      <w:bookmarkEnd w:id="128"/>
    </w:p>
    <w:p>
      <w:pPr>
        <w:pStyle w:val="Heading2"/>
        <w:spacing w:lineRule="auto" w:line="276"/>
        <w:rPr>
          <w:color w:val="000000"/>
        </w:rPr>
      </w:pPr>
      <w:bookmarkStart w:id="129" w:name="__RefHeading___Toc7630_1562581415"/>
      <w:bookmarkEnd w:id="129"/>
      <w:r>
        <w:rPr>
          <w:rFonts w:ascii="Times New Roman" w:hAnsi="Times New Roman"/>
          <w:color w:val="000000"/>
          <w:sz w:val="24"/>
          <w:szCs w:val="24"/>
        </w:rPr>
        <w:t>10</w:t>
      </w:r>
      <w:bookmarkStart w:id="130" w:name="X922e4f1726523f80a41d485f970ea61a7d5cc93"/>
      <w:r>
        <w:rPr>
          <w:rFonts w:ascii="Times New Roman" w:hAnsi="Times New Roman"/>
          <w:color w:val="000000"/>
          <w:sz w:val="24"/>
          <w:szCs w:val="24"/>
        </w:rPr>
        <w:t>.2 Lessons Learned and Technical Limitations</w:t>
      </w:r>
    </w:p>
    <w:p>
      <w:pPr>
        <w:pStyle w:val="FirstParagraph"/>
        <w:spacing w:lineRule="auto" w:line="276"/>
        <w:rPr>
          <w:color w:val="000000"/>
        </w:rPr>
      </w:pPr>
      <w:r>
        <w:rPr>
          <w:rFonts w:ascii="Times New Roman" w:hAnsi="Times New Roman"/>
          <w:color w:val="000000"/>
          <w:sz w:val="24"/>
          <w:szCs w:val="24"/>
        </w:rPr>
        <w:t>Throughout the lifecycle of this project, we have learned several critical lessons regarding the development of high stakes institutional software. Perhaps the most important realization was the vital necessity of “API Resilience.” Our experience with the Gemini API quota limits taught us that a platform cannot afford a single point of failure in its intelligence layer. Our decision to implement a dual layer AI architecture with a local fallback was the single most important factor in ensuring the platform’s 100% availability. We also learned that regulatory compliance, particularly regarding NITA forms and insurance verifications, is as much a “human problem” as it is a technical one. Success in this area required constant engagement with stakeholders like Dr. Charles Muango to ensure that our digital workflows were not just technically clever, but legally and administratively acceptable within the university’s framework.</w:t>
      </w:r>
    </w:p>
    <w:p>
      <w:pPr>
        <w:pStyle w:val="BodyText"/>
        <w:spacing w:lineRule="auto" w:line="276"/>
        <w:rPr>
          <w:color w:val="000000"/>
        </w:rPr>
      </w:pPr>
      <w:r>
        <w:rPr>
          <w:rFonts w:ascii="Times New Roman" w:hAnsi="Times New Roman"/>
          <w:color w:val="000000"/>
          <w:sz w:val="24"/>
          <w:szCs w:val="24"/>
        </w:rPr>
        <w:t>However, we also acknowledge that AISHA is currently a cloud native platform, which means its full intelligence and documentation features are dependent on a stable internet connection. While this is acceptable for most modern urban industrial zones, we recognize that it may pose a challenge for students in extremely remote areas with poor digital infrastructure. This realization has helped us define our future roadmap, where we intend to focus on “Offline First” capabilities to ensure that every student, regardless of their location, can continue to log their progress and access the platform’s core benefits without interruption.</w:t>
      </w:r>
      <w:bookmarkEnd w:id="130"/>
    </w:p>
    <w:p>
      <w:pPr>
        <w:pStyle w:val="Heading2"/>
        <w:spacing w:lineRule="auto" w:line="276"/>
        <w:rPr>
          <w:color w:val="000000"/>
        </w:rPr>
      </w:pPr>
      <w:bookmarkStart w:id="131" w:name="__RefHeading___Toc7632_1562581415"/>
      <w:bookmarkEnd w:id="131"/>
      <w:r>
        <w:rPr>
          <w:rFonts w:ascii="Times New Roman" w:hAnsi="Times New Roman"/>
          <w:color w:val="000000"/>
          <w:sz w:val="24"/>
          <w:szCs w:val="24"/>
        </w:rPr>
        <w:t>10</w:t>
      </w:r>
      <w:bookmarkStart w:id="132" w:name="X2a2102bd963bc8cc4b33f56f9b2d0273aafe569"/>
      <w:r>
        <w:rPr>
          <w:rFonts w:ascii="Times New Roman" w:hAnsi="Times New Roman"/>
          <w:color w:val="000000"/>
          <w:sz w:val="24"/>
          <w:szCs w:val="24"/>
        </w:rPr>
        <w:t>.3 Ambitious Roadmap for Future Development and Expansion</w:t>
      </w:r>
    </w:p>
    <w:p>
      <w:pPr>
        <w:pStyle w:val="FirstParagraph"/>
        <w:spacing w:lineRule="auto" w:line="276"/>
        <w:rPr>
          <w:color w:val="000000"/>
        </w:rPr>
      </w:pPr>
      <w:r>
        <w:rPr>
          <w:rFonts w:ascii="Times New Roman" w:hAnsi="Times New Roman"/>
          <w:color w:val="000000"/>
          <w:sz w:val="24"/>
          <w:szCs w:val="24"/>
        </w:rPr>
        <w:t>The completion of the current phase of AISHA is just the beginning of a larger vision for a national “Professional Development Hub.” Our most immediate recommendation for future work is the full completion and deployment of the standalone AISHA Mobile Application using our existing React Native foundation. This will provide students with native push notifications for application updates and a smoother, offline ready interface for logbook entries. We also recommend the development of a dedicated Desktop Client for university and company administrators, providing them with advanced “Big Data” visualization tools to track attachment trends across multiple academic years.</w:t>
      </w:r>
    </w:p>
    <w:p>
      <w:pPr>
        <w:pStyle w:val="BodyText"/>
        <w:spacing w:lineRule="auto" w:line="276"/>
        <w:rPr>
          <w:color w:val="000000"/>
        </w:rPr>
      </w:pPr>
      <w:r>
        <w:rPr>
          <w:rFonts w:ascii="Times New Roman" w:hAnsi="Times New Roman"/>
          <w:color w:val="000000"/>
          <w:sz w:val="24"/>
          <w:szCs w:val="24"/>
        </w:rPr>
        <w:t>Furthermore, we intend to explore the integration of “Sovereign Blockchain Technology” to further improve the security and immutability of our digital certificates and logbook entries. By anchoring these professional records to a decentralized ledger, we can ensure that a student’s industrial experience is “permanently etched” and tamper proof, providing a level of verification that is impossible to achieve with current digital or physical systems. Ultimately, we envision AISHA evolving into a “Predictive Career Advisor,” using historical placement data to help students identify the specific skills and certifications they need to secure full-time employment after graduation. This will move the platform from a matching engine to a lifelong career planning tool that follows the student long after they have left the university.</w:t>
      </w:r>
      <w:bookmarkEnd w:id="132"/>
    </w:p>
    <w:p>
      <w:pPr>
        <w:pStyle w:val="Heading2"/>
        <w:spacing w:lineRule="auto" w:line="276"/>
        <w:rPr>
          <w:color w:val="000000"/>
        </w:rPr>
      </w:pPr>
      <w:bookmarkStart w:id="133" w:name="__RefHeading___Toc7634_1562581415"/>
      <w:bookmarkEnd w:id="133"/>
      <w:r>
        <w:rPr>
          <w:rFonts w:ascii="Times New Roman" w:hAnsi="Times New Roman"/>
          <w:color w:val="000000"/>
          <w:sz w:val="24"/>
          <w:szCs w:val="24"/>
        </w:rPr>
        <w:t>10</w:t>
      </w:r>
      <w:bookmarkStart w:id="134" w:name="final-concluding-thoughts"/>
      <w:r>
        <w:rPr>
          <w:rFonts w:ascii="Times New Roman" w:hAnsi="Times New Roman"/>
          <w:color w:val="000000"/>
          <w:sz w:val="24"/>
          <w:szCs w:val="24"/>
        </w:rPr>
        <w:t>.4 Final Concluding Thoughts</w:t>
      </w:r>
    </w:p>
    <w:p>
      <w:pPr>
        <w:pStyle w:val="FirstParagraph"/>
        <w:spacing w:lineRule="auto" w:line="276"/>
        <w:rPr>
          <w:color w:val="000000"/>
        </w:rPr>
      </w:pPr>
      <w:r>
        <w:rPr>
          <w:rFonts w:ascii="Times New Roman" w:hAnsi="Times New Roman"/>
          <w:color w:val="000000"/>
          <w:sz w:val="24"/>
          <w:szCs w:val="24"/>
        </w:rPr>
        <w:t>AISHA is more than just a software project; it is a solution to a real, systemic problem that affects thousands of Kenyan youth every year. By combining the latest advancements in AI, cloud computing, and automated mobile payments with the practical, hands on wisdom of academic coordinators like Dr. Charles Muango, we have built a platform that makes the path from the university classroom to the professional boardroom a whole lot smoother. The success of our simulated interactions and the technical resilience we have demonstrated in our testing phase confirm that AISHA is a robust, viable, and essential tool for the digital transformation of higher education in Kenya.</w:t>
      </w:r>
      <w:bookmarkEnd w:id="134"/>
    </w:p>
    <w:p>
      <w:pPr>
        <w:pStyle w:val="Heading1"/>
        <w:spacing w:lineRule="auto" w:line="276"/>
        <w:rPr>
          <w:color w:val="000000"/>
        </w:rPr>
      </w:pPr>
      <w:bookmarkStart w:id="135" w:name="__RefHeading___Toc7636_1562581415"/>
      <w:bookmarkStart w:id="136" w:name="references-apa-7th-edition"/>
      <w:bookmarkEnd w:id="135"/>
      <w:r>
        <w:rPr>
          <w:rFonts w:ascii="Times New Roman" w:hAnsi="Times New Roman"/>
          <w:color w:val="000000"/>
          <w:sz w:val="24"/>
          <w:szCs w:val="24"/>
        </w:rPr>
        <w:t>REFERENCES (APA 7th Edition)</w:t>
      </w:r>
    </w:p>
    <w:p>
      <w:pPr>
        <w:pStyle w:val="FirstParagraph"/>
        <w:spacing w:lineRule="auto" w:line="276"/>
        <w:rPr>
          <w:color w:val="000000"/>
        </w:rPr>
      </w:pPr>
      <w:r>
        <w:rPr>
          <w:rFonts w:ascii="Times New Roman" w:hAnsi="Times New Roman"/>
          <w:color w:val="000000"/>
          <w:sz w:val="24"/>
          <w:szCs w:val="24"/>
        </w:rPr>
        <w:t xml:space="preserve">Ames, M. G., &amp; Burrell, J. (2017). ‘Connected Learning’ and the Equity Gap in Higher Education. </w:t>
      </w:r>
      <w:r>
        <w:rPr>
          <w:rFonts w:ascii="Times New Roman" w:hAnsi="Times New Roman"/>
          <w:i/>
          <w:iCs/>
          <w:color w:val="000000"/>
          <w:sz w:val="24"/>
          <w:szCs w:val="24"/>
        </w:rPr>
        <w:t>Proceedings of the 2017 ACM Conference on Computer Supported Cooperative Work and Social Computing</w:t>
      </w:r>
      <w:r>
        <w:rPr>
          <w:rFonts w:ascii="Times New Roman" w:hAnsi="Times New Roman"/>
          <w:color w:val="000000"/>
          <w:sz w:val="24"/>
          <w:szCs w:val="24"/>
        </w:rPr>
        <w:t>. https://doi.org/10.1145/2998181.2998342</w:t>
      </w:r>
    </w:p>
    <w:p>
      <w:pPr>
        <w:pStyle w:val="BodyText"/>
        <w:spacing w:lineRule="auto" w:line="276"/>
        <w:rPr>
          <w:color w:val="000000"/>
        </w:rPr>
      </w:pPr>
      <w:r>
        <w:rPr>
          <w:rFonts w:ascii="Times New Roman" w:hAnsi="Times New Roman"/>
          <w:color w:val="000000"/>
          <w:sz w:val="24"/>
          <w:szCs w:val="24"/>
        </w:rPr>
        <w:t xml:space="preserve">AISHA Proposal. (2026). </w:t>
      </w:r>
      <w:r>
        <w:rPr>
          <w:rFonts w:ascii="Times New Roman" w:hAnsi="Times New Roman"/>
          <w:i/>
          <w:iCs/>
          <w:color w:val="000000"/>
          <w:sz w:val="24"/>
          <w:szCs w:val="24"/>
        </w:rPr>
        <w:t>AISHA: AI Powered Industrial Attachment Matching Platform - Project Proposal (Version 1.0)</w:t>
      </w:r>
      <w:r>
        <w:rPr>
          <w:rFonts w:ascii="Times New Roman" w:hAnsi="Times New Roman"/>
          <w:color w:val="000000"/>
          <w:sz w:val="24"/>
          <w:szCs w:val="24"/>
        </w:rPr>
        <w:t>. Masinde Muliro University of Science and Technology.</w:t>
      </w:r>
    </w:p>
    <w:p>
      <w:pPr>
        <w:pStyle w:val="BodyText"/>
        <w:spacing w:lineRule="auto" w:line="276"/>
        <w:rPr>
          <w:color w:val="000000"/>
        </w:rPr>
      </w:pPr>
      <w:r>
        <w:rPr>
          <w:rFonts w:ascii="Times New Roman" w:hAnsi="Times New Roman"/>
          <w:color w:val="000000"/>
          <w:sz w:val="24"/>
          <w:szCs w:val="24"/>
        </w:rPr>
        <w:t xml:space="preserve">Google. (2024). </w:t>
      </w:r>
      <w:r>
        <w:rPr>
          <w:rFonts w:ascii="Times New Roman" w:hAnsi="Times New Roman"/>
          <w:i/>
          <w:iCs/>
          <w:color w:val="000000"/>
          <w:sz w:val="24"/>
          <w:szCs w:val="24"/>
        </w:rPr>
        <w:t>Gemini API Documentation</w:t>
      </w:r>
      <w:r>
        <w:rPr>
          <w:rFonts w:ascii="Times New Roman" w:hAnsi="Times New Roman"/>
          <w:color w:val="000000"/>
          <w:sz w:val="24"/>
          <w:szCs w:val="24"/>
        </w:rPr>
        <w:t>. Google for Developers. https://ai.google.dev/docs</w:t>
      </w:r>
    </w:p>
    <w:p>
      <w:pPr>
        <w:pStyle w:val="BodyText"/>
        <w:spacing w:lineRule="auto" w:line="276"/>
        <w:rPr>
          <w:color w:val="000000"/>
        </w:rPr>
      </w:pPr>
      <w:r>
        <w:rPr>
          <w:rFonts w:ascii="Times New Roman" w:hAnsi="Times New Roman"/>
          <w:color w:val="000000"/>
          <w:sz w:val="24"/>
          <w:szCs w:val="24"/>
        </w:rPr>
        <w:t xml:space="preserve">Mayer, R. E. (2014). </w:t>
      </w:r>
      <w:r>
        <w:rPr>
          <w:rFonts w:ascii="Times New Roman" w:hAnsi="Times New Roman"/>
          <w:i/>
          <w:iCs/>
          <w:color w:val="000000"/>
          <w:sz w:val="24"/>
          <w:szCs w:val="24"/>
        </w:rPr>
        <w:t>The Cambridge Handbook of Multimedia Learning</w:t>
      </w:r>
      <w:r>
        <w:rPr>
          <w:rFonts w:ascii="Times New Roman" w:hAnsi="Times New Roman"/>
          <w:color w:val="000000"/>
          <w:sz w:val="24"/>
          <w:szCs w:val="24"/>
        </w:rPr>
        <w:t>. Cambridge University Press.</w:t>
      </w:r>
    </w:p>
    <w:p>
      <w:pPr>
        <w:pStyle w:val="BodyText"/>
        <w:spacing w:lineRule="auto" w:line="276"/>
        <w:rPr>
          <w:color w:val="000000"/>
        </w:rPr>
      </w:pPr>
      <w:r>
        <w:rPr>
          <w:rFonts w:ascii="Times New Roman" w:hAnsi="Times New Roman"/>
          <w:color w:val="000000"/>
          <w:sz w:val="24"/>
          <w:szCs w:val="24"/>
        </w:rPr>
        <w:t xml:space="preserve">Safaricom. (2024). </w:t>
      </w:r>
      <w:r>
        <w:rPr>
          <w:rFonts w:ascii="Times New Roman" w:hAnsi="Times New Roman"/>
          <w:i/>
          <w:iCs/>
          <w:color w:val="000000"/>
          <w:sz w:val="24"/>
          <w:szCs w:val="24"/>
        </w:rPr>
        <w:t>Daraja API Documentation</w:t>
      </w:r>
      <w:r>
        <w:rPr>
          <w:rFonts w:ascii="Times New Roman" w:hAnsi="Times New Roman"/>
          <w:color w:val="000000"/>
          <w:sz w:val="24"/>
          <w:szCs w:val="24"/>
        </w:rPr>
        <w:t>. Safaricom Developers Portal. https://developer.safaricom.co.ke/</w:t>
      </w:r>
    </w:p>
    <w:p>
      <w:pPr>
        <w:pStyle w:val="BodyText"/>
        <w:spacing w:lineRule="auto" w:line="276"/>
        <w:rPr>
          <w:color w:val="000000"/>
        </w:rPr>
      </w:pPr>
      <w:r>
        <w:rPr>
          <w:rFonts w:ascii="Times New Roman" w:hAnsi="Times New Roman"/>
          <w:color w:val="000000"/>
          <w:sz w:val="24"/>
          <w:szCs w:val="24"/>
        </w:rPr>
        <w:t xml:space="preserve">Supabase. (2024). </w:t>
      </w:r>
      <w:r>
        <w:rPr>
          <w:rFonts w:ascii="Times New Roman" w:hAnsi="Times New Roman"/>
          <w:i/>
          <w:iCs/>
          <w:color w:val="000000"/>
          <w:sz w:val="24"/>
          <w:szCs w:val="24"/>
        </w:rPr>
        <w:t>Supabase Documentation: Database and Storage</w:t>
      </w:r>
      <w:r>
        <w:rPr>
          <w:rFonts w:ascii="Times New Roman" w:hAnsi="Times New Roman"/>
          <w:color w:val="000000"/>
          <w:sz w:val="24"/>
          <w:szCs w:val="24"/>
        </w:rPr>
        <w:t>. https://supabase.com/docs</w:t>
      </w:r>
    </w:p>
    <w:p>
      <w:pPr>
        <w:pStyle w:val="BodyText"/>
        <w:spacing w:lineRule="auto" w:line="276"/>
        <w:rPr>
          <w:color w:val="000000"/>
        </w:rPr>
      </w:pPr>
      <w:r>
        <w:rPr>
          <w:rFonts w:ascii="Times New Roman" w:hAnsi="Times New Roman"/>
          <w:color w:val="000000"/>
          <w:sz w:val="24"/>
          <w:szCs w:val="24"/>
        </w:rPr>
        <w:t xml:space="preserve">Wenger, E. (1998). </w:t>
      </w:r>
      <w:r>
        <w:rPr>
          <w:rFonts w:ascii="Times New Roman" w:hAnsi="Times New Roman"/>
          <w:i/>
          <w:iCs/>
          <w:color w:val="000000"/>
          <w:sz w:val="24"/>
          <w:szCs w:val="24"/>
        </w:rPr>
        <w:t>Communities of Practice: Learning, Meaning, and Identity</w:t>
      </w:r>
      <w:r>
        <w:rPr>
          <w:rFonts w:ascii="Times New Roman" w:hAnsi="Times New Roman"/>
          <w:color w:val="000000"/>
          <w:sz w:val="24"/>
          <w:szCs w:val="24"/>
        </w:rPr>
        <w:t>. Cambridge University Press.</w:t>
      </w:r>
      <w:bookmarkEnd w:id="136"/>
    </w:p>
    <w:p>
      <w:pPr>
        <w:pStyle w:val="Heading1"/>
        <w:spacing w:lineRule="auto" w:line="276"/>
        <w:rPr>
          <w:color w:val="000000"/>
        </w:rPr>
      </w:pPr>
      <w:bookmarkStart w:id="137" w:name="__RefHeading___Toc7638_1562581415"/>
      <w:bookmarkStart w:id="138" w:name="appendices"/>
      <w:bookmarkEnd w:id="137"/>
      <w:r>
        <w:rPr>
          <w:rFonts w:ascii="Times New Roman" w:hAnsi="Times New Roman"/>
          <w:color w:val="000000"/>
          <w:sz w:val="24"/>
          <w:szCs w:val="24"/>
        </w:rPr>
        <w:t>APPENDICES</w:t>
      </w:r>
    </w:p>
    <w:p>
      <w:pPr>
        <w:pStyle w:val="Heading2"/>
        <w:spacing w:lineRule="auto" w:line="276"/>
        <w:rPr>
          <w:color w:val="000000"/>
        </w:rPr>
      </w:pPr>
      <w:bookmarkStart w:id="139" w:name="__RefHeading___Toc7640_1562581415"/>
      <w:bookmarkStart w:id="140" w:name="X47e712c29b71569a894780fe93ff67ece2c0456"/>
      <w:bookmarkEnd w:id="139"/>
      <w:r>
        <w:rPr>
          <w:rFonts w:ascii="Times New Roman" w:hAnsi="Times New Roman"/>
          <w:color w:val="000000"/>
          <w:sz w:val="24"/>
          <w:szCs w:val="24"/>
        </w:rPr>
        <w:t>Appendix A: Detailed Narrative of the Data Architecture</w:t>
      </w:r>
    </w:p>
    <w:p>
      <w:pPr>
        <w:pStyle w:val="FirstParagraph"/>
        <w:spacing w:lineRule="auto" w:line="276"/>
        <w:rPr/>
      </w:pPr>
      <w:r>
        <w:rPr>
          <w:rFonts w:ascii="Times New Roman" w:hAnsi="Times New Roman"/>
          <w:color w:val="000000"/>
          <w:sz w:val="24"/>
          <w:szCs w:val="24"/>
        </w:rPr>
        <w:t xml:space="preserve">The data architecture of the AISHA platform was designed with a focus on high normalization and relational integrity to ensure that complex relationships between students, institutions, and companies are always preserved. At the core of the system is the </w:t>
      </w:r>
      <w:r>
        <w:rPr>
          <w:rStyle w:val="VerbatimChar"/>
          <w:rFonts w:ascii="Times New Roman" w:hAnsi="Times New Roman"/>
          <w:color w:val="000000"/>
          <w:sz w:val="24"/>
          <w:szCs w:val="24"/>
        </w:rPr>
        <w:t>users</w:t>
      </w:r>
      <w:r>
        <w:rPr>
          <w:rFonts w:ascii="Times New Roman" w:hAnsi="Times New Roman"/>
          <w:color w:val="000000"/>
          <w:sz w:val="24"/>
          <w:szCs w:val="24"/>
        </w:rPr>
        <w:t xml:space="preserve"> table, which serves as the primary identity provider and manages role based access for all stakeholders. This is linked to specialized profile tables such as </w:t>
      </w:r>
      <w:r>
        <w:rPr>
          <w:rStyle w:val="VerbatimChar"/>
          <w:rFonts w:ascii="Times New Roman" w:hAnsi="Times New Roman"/>
          <w:color w:val="000000"/>
          <w:sz w:val="24"/>
          <w:szCs w:val="24"/>
        </w:rPr>
        <w:t>students</w:t>
      </w:r>
      <w:r>
        <w:rPr>
          <w:rFonts w:ascii="Times New Roman" w:hAnsi="Times New Roman"/>
          <w:color w:val="000000"/>
          <w:sz w:val="24"/>
          <w:szCs w:val="24"/>
        </w:rPr>
        <w:t xml:space="preserve"> and </w:t>
      </w:r>
      <w:r>
        <w:rPr>
          <w:rStyle w:val="VerbatimChar"/>
          <w:rFonts w:ascii="Times New Roman" w:hAnsi="Times New Roman"/>
          <w:color w:val="000000"/>
          <w:sz w:val="24"/>
          <w:szCs w:val="24"/>
        </w:rPr>
        <w:t>companies</w:t>
      </w:r>
      <w:r>
        <w:rPr>
          <w:rFonts w:ascii="Times New Roman" w:hAnsi="Times New Roman"/>
          <w:color w:val="000000"/>
          <w:sz w:val="24"/>
          <w:szCs w:val="24"/>
        </w:rPr>
        <w:t xml:space="preserve">, which store the detailed metadata required for the AI matching engine. The </w:t>
      </w:r>
      <w:r>
        <w:rPr>
          <w:rStyle w:val="VerbatimChar"/>
          <w:rFonts w:ascii="Times New Roman" w:hAnsi="Times New Roman"/>
          <w:color w:val="000000"/>
          <w:sz w:val="24"/>
          <w:szCs w:val="24"/>
        </w:rPr>
        <w:t>applications</w:t>
      </w:r>
      <w:r>
        <w:rPr>
          <w:rFonts w:ascii="Times New Roman" w:hAnsi="Times New Roman"/>
          <w:color w:val="000000"/>
          <w:sz w:val="24"/>
          <w:szCs w:val="24"/>
        </w:rPr>
        <w:t xml:space="preserve"> table serves as the critical bridge between these entities, tracking the lifecycle of every attachment request from the initial match score to the final acceptance. We also implemented a specialized </w:t>
      </w:r>
      <w:r>
        <w:rPr>
          <w:rStyle w:val="VerbatimChar"/>
          <w:rFonts w:ascii="Times New Roman" w:hAnsi="Times New Roman"/>
          <w:color w:val="000000"/>
          <w:sz w:val="24"/>
          <w:szCs w:val="24"/>
        </w:rPr>
        <w:t>logbook_entries</w:t>
      </w:r>
      <w:r>
        <w:rPr>
          <w:rFonts w:ascii="Times New Roman" w:hAnsi="Times New Roman"/>
          <w:color w:val="000000"/>
          <w:sz w:val="24"/>
          <w:szCs w:val="24"/>
        </w:rPr>
        <w:t xml:space="preserve"> table which is anchored to the active placement, providing the structural foundation for our digital progress tracking and supervisor audit workflow. Every transaction and administrative fee is managed through the </w:t>
      </w:r>
      <w:r>
        <w:rPr>
          <w:rStyle w:val="VerbatimChar"/>
          <w:rFonts w:ascii="Times New Roman" w:hAnsi="Times New Roman"/>
          <w:color w:val="000000"/>
          <w:sz w:val="24"/>
          <w:szCs w:val="24"/>
        </w:rPr>
        <w:t>payments</w:t>
      </w:r>
      <w:r>
        <w:rPr>
          <w:rFonts w:ascii="Times New Roman" w:hAnsi="Times New Roman"/>
          <w:color w:val="000000"/>
          <w:sz w:val="24"/>
          <w:szCs w:val="24"/>
        </w:rPr>
        <w:t xml:space="preserve"> table, providing a complete and verifiable financial audit trail for institutional accountants.</w:t>
      </w:r>
      <w:bookmarkEnd w:id="140"/>
    </w:p>
    <w:p>
      <w:pPr>
        <w:pStyle w:val="Heading2"/>
        <w:spacing w:lineRule="auto" w:line="276"/>
        <w:rPr>
          <w:color w:val="000000"/>
        </w:rPr>
      </w:pPr>
      <w:bookmarkStart w:id="141" w:name="__RefHeading___Toc7642_1562581415"/>
      <w:bookmarkStart w:id="142" w:name="Xd6e8b9f53814ccf9bc0200ee23de6e61ecb5f69"/>
      <w:bookmarkEnd w:id="141"/>
      <w:r>
        <w:rPr>
          <w:rFonts w:ascii="Times New Roman" w:hAnsi="Times New Roman"/>
          <w:color w:val="000000"/>
          <w:sz w:val="24"/>
          <w:szCs w:val="24"/>
        </w:rPr>
        <w:t>Appendix B: Comprehensive API Specification Narrative</w:t>
      </w:r>
    </w:p>
    <w:p>
      <w:pPr>
        <w:pStyle w:val="FirstParagraph"/>
        <w:spacing w:lineRule="auto" w:line="276" w:before="180" w:after="180"/>
        <w:rPr/>
      </w:pPr>
      <w:r>
        <w:rPr>
          <w:rFonts w:ascii="Times New Roman" w:hAnsi="Times New Roman"/>
          <w:color w:val="000000"/>
          <w:sz w:val="24"/>
          <w:szCs w:val="24"/>
        </w:rPr>
        <w:t xml:space="preserve">The AISHA backend exposes a suite of RESTful API endpoints that provide a structured and secure way for the frontend to interact with our core business logic. Authentication is handled through the </w:t>
      </w:r>
      <w:r>
        <w:rPr>
          <w:rStyle w:val="VerbatimChar"/>
          <w:rFonts w:ascii="Times New Roman" w:hAnsi="Times New Roman"/>
          <w:color w:val="000000"/>
          <w:sz w:val="24"/>
          <w:szCs w:val="24"/>
        </w:rPr>
        <w:t>/api/auth/login</w:t>
      </w:r>
      <w:r>
        <w:rPr>
          <w:rFonts w:ascii="Times New Roman" w:hAnsi="Times New Roman"/>
          <w:color w:val="000000"/>
          <w:sz w:val="24"/>
          <w:szCs w:val="24"/>
        </w:rPr>
        <w:t xml:space="preserve"> endpoint, which issues secure JWT tokens that must be included in the header of every subsequent request. The intelligent matching sequence is triggered through the </w:t>
      </w:r>
      <w:r>
        <w:rPr>
          <w:rStyle w:val="VerbatimChar"/>
          <w:rFonts w:ascii="Times New Roman" w:hAnsi="Times New Roman"/>
          <w:color w:val="000000"/>
          <w:sz w:val="24"/>
          <w:szCs w:val="24"/>
        </w:rPr>
        <w:t>/api/ai/match</w:t>
      </w:r>
      <w:r>
        <w:rPr>
          <w:rFonts w:ascii="Times New Roman" w:hAnsi="Times New Roman"/>
          <w:color w:val="000000"/>
          <w:sz w:val="24"/>
          <w:szCs w:val="24"/>
        </w:rPr>
        <w:t xml:space="preserve"> endpoint, which performs a real time semantic analysis of the student’s profile. Financial transactions are initiated through the </w:t>
      </w:r>
      <w:r>
        <w:rPr>
          <w:rStyle w:val="VerbatimChar"/>
          <w:rFonts w:ascii="Times New Roman" w:hAnsi="Times New Roman"/>
          <w:color w:val="000000"/>
          <w:sz w:val="24"/>
          <w:szCs w:val="24"/>
        </w:rPr>
        <w:t>/api/pay/stk</w:t>
      </w:r>
      <w:r>
        <w:rPr>
          <w:rFonts w:ascii="Times New Roman" w:hAnsi="Times New Roman"/>
          <w:color w:val="000000"/>
          <w:sz w:val="24"/>
          <w:szCs w:val="24"/>
        </w:rPr>
        <w:t xml:space="preserve"> endpoint, which communicates with Safaricom’s Daraja API to trigger an M Pesa prompt on the student’s phone. For progress tracking, students utilize the </w:t>
      </w:r>
      <w:r>
        <w:rPr>
          <w:rStyle w:val="VerbatimChar"/>
          <w:rFonts w:ascii="Times New Roman" w:hAnsi="Times New Roman"/>
          <w:color w:val="000000"/>
          <w:sz w:val="24"/>
          <w:szCs w:val="24"/>
        </w:rPr>
        <w:t>/api/log/entry</w:t>
      </w:r>
      <w:r>
        <w:rPr>
          <w:rFonts w:ascii="Times New Roman" w:hAnsi="Times New Roman"/>
          <w:color w:val="000000"/>
          <w:sz w:val="24"/>
          <w:szCs w:val="24"/>
        </w:rPr>
        <w:t xml:space="preserve"> endpoint to submit their daily activities, while supervisors use the </w:t>
      </w:r>
      <w:r>
        <w:rPr>
          <w:rStyle w:val="VerbatimChar"/>
          <w:rFonts w:ascii="Times New Roman" w:hAnsi="Times New Roman"/>
          <w:color w:val="000000"/>
          <w:sz w:val="24"/>
          <w:szCs w:val="24"/>
        </w:rPr>
        <w:t>/api/log/sign</w:t>
      </w:r>
      <w:r>
        <w:rPr>
          <w:rFonts w:ascii="Times New Roman" w:hAnsi="Times New Roman"/>
          <w:color w:val="000000"/>
          <w:sz w:val="24"/>
          <w:szCs w:val="24"/>
        </w:rPr>
        <w:t xml:space="preserve"> endpoint to verify these records. Finally, the automated generation of mandatory documents like acceptance letters  is handled through the </w:t>
      </w:r>
      <w:r>
        <w:rPr>
          <w:rStyle w:val="VerbatimChar"/>
          <w:rFonts w:ascii="Times New Roman" w:hAnsi="Times New Roman"/>
          <w:color w:val="000000"/>
          <w:sz w:val="24"/>
          <w:szCs w:val="24"/>
        </w:rPr>
        <w:t>/api/docs</w:t>
      </w:r>
      <w:r>
        <w:rPr>
          <w:rFonts w:ascii="Times New Roman" w:hAnsi="Times New Roman"/>
          <w:color w:val="000000"/>
          <w:sz w:val="24"/>
          <w:szCs w:val="24"/>
        </w:rPr>
        <w:t xml:space="preserve"> endpoint, which returns a binary PDF stream generated by our specialized automation service.</w:t>
      </w:r>
      <w:bookmarkEnd w:id="138"/>
      <w:bookmarkEnd w:id="142"/>
    </w:p>
    <w:sectPr>
      <w:footerReference w:type="default" r:id="rId12"/>
      <w:type w:val="nextPage"/>
      <w:pgSz w:w="12240" w:h="15840"/>
      <w:pgMar w:left="1134" w:right="567" w:gutter="0" w:header="0" w:top="567" w:footer="567" w:bottom="1377"/>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143" w:name="PageNumWizard_FOOTER_HTML1"/>
    <w:r>
      <w:rPr/>
      <w:fldChar w:fldCharType="begin"/>
    </w:r>
    <w:r>
      <w:rPr/>
      <w:instrText xml:space="preserve"> PAGE </w:instrText>
    </w:r>
    <w:r>
      <w:rPr/>
      <w:fldChar w:fldCharType="separate"/>
    </w:r>
    <w:r>
      <w:rPr/>
      <w:t>22</w:t>
    </w:r>
    <w:r>
      <w:rPr/>
      <w:fldChar w:fldCharType="end"/>
    </w:r>
    <w:bookmarkEnd w:id="143"/>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hd w:val="clear" w:fill="DCEAF7"/>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NumberingSymbols">
    <w:name w:val="Numbering Symbols"/>
    <w:qFormat/>
    <w:rPr/>
  </w:style>
  <w:style w:type="character" w:styleId="Strong">
    <w:name w:val="Strong"/>
    <w:qFormat/>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LibreOffice/26.2.2.2$Linux_X86_64 LibreOffice_project/620$Build-2</Application>
  <AppVersion>15.0000</AppVersion>
  <Pages>32</Pages>
  <Words>9824</Words>
  <Characters>56815</Characters>
  <CharactersWithSpaces>66097</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2026-05-03T20:44:27Z</dcterms:created>
  <dc:creator/>
  <dc:description/>
  <dc:language>en-US</dc:language>
  <cp:lastModifiedBy/>
  <dcterms:modified xsi:type="dcterms:W3CDTF">2026-05-04T01:55:05Z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